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BD2" w:rsidRPr="00581D66" w:rsidRDefault="000F2BD2" w:rsidP="00CD6EBB">
      <w:pPr>
        <w:jc w:val="center"/>
        <w:rPr>
          <w:b/>
          <w:i/>
          <w:color w:val="000000"/>
          <w:spacing w:val="-4"/>
          <w:sz w:val="16"/>
          <w:szCs w:val="16"/>
        </w:rPr>
      </w:pPr>
      <w:r w:rsidRPr="00581D66">
        <w:rPr>
          <w:b/>
          <w:i/>
          <w:color w:val="000000"/>
          <w:spacing w:val="-4"/>
          <w:sz w:val="16"/>
          <w:szCs w:val="16"/>
        </w:rPr>
        <w:t xml:space="preserve">ДО УВАГИ АКЦІОНЕРІВ </w:t>
      </w:r>
    </w:p>
    <w:p w:rsidR="000F2BD2" w:rsidRPr="00581D66" w:rsidRDefault="000F2BD2" w:rsidP="00CD6EBB">
      <w:pPr>
        <w:jc w:val="center"/>
        <w:rPr>
          <w:b/>
          <w:i/>
          <w:color w:val="000000"/>
          <w:spacing w:val="-4"/>
          <w:sz w:val="16"/>
          <w:szCs w:val="16"/>
        </w:rPr>
      </w:pPr>
      <w:r w:rsidRPr="00581D66">
        <w:rPr>
          <w:b/>
          <w:i/>
          <w:color w:val="000000"/>
          <w:spacing w:val="-4"/>
          <w:sz w:val="16"/>
          <w:szCs w:val="16"/>
        </w:rPr>
        <w:t xml:space="preserve">ПРИВАТНОГО АКЦІОНЕРНОГО ТОВАРИСТВА </w:t>
      </w:r>
    </w:p>
    <w:p w:rsidR="000F2BD2" w:rsidRPr="00581D66" w:rsidRDefault="000F2BD2" w:rsidP="00CD6EBB">
      <w:pPr>
        <w:jc w:val="center"/>
        <w:rPr>
          <w:i/>
          <w:spacing w:val="-4"/>
          <w:sz w:val="16"/>
          <w:szCs w:val="16"/>
        </w:rPr>
      </w:pPr>
      <w:r w:rsidRPr="00581D66">
        <w:rPr>
          <w:b/>
          <w:i/>
          <w:color w:val="000000"/>
          <w:spacing w:val="-4"/>
          <w:sz w:val="16"/>
          <w:szCs w:val="16"/>
        </w:rPr>
        <w:t>"БОРОДЯНСЬКЕ АВТОТРАНСПОРТНЕ ПІДПРИЄМСТВО 13237"</w:t>
      </w:r>
      <w:r w:rsidRPr="00581D66">
        <w:rPr>
          <w:i/>
          <w:color w:val="000000"/>
          <w:spacing w:val="-4"/>
          <w:sz w:val="16"/>
          <w:szCs w:val="16"/>
        </w:rPr>
        <w:t xml:space="preserve"> </w:t>
      </w:r>
      <w:r w:rsidRPr="00581D66">
        <w:rPr>
          <w:i/>
          <w:spacing w:val="-4"/>
          <w:sz w:val="16"/>
          <w:szCs w:val="16"/>
        </w:rPr>
        <w:t xml:space="preserve"> </w:t>
      </w:r>
    </w:p>
    <w:p w:rsidR="000F2BD2" w:rsidRPr="00581D66" w:rsidRDefault="000F2BD2" w:rsidP="00CD6EBB">
      <w:pPr>
        <w:jc w:val="center"/>
        <w:rPr>
          <w:b/>
          <w:caps/>
          <w:sz w:val="16"/>
          <w:szCs w:val="16"/>
        </w:rPr>
      </w:pPr>
    </w:p>
    <w:p w:rsidR="00F90CAA" w:rsidRPr="00581D66" w:rsidRDefault="00F90CAA" w:rsidP="00CD6EBB">
      <w:pPr>
        <w:jc w:val="center"/>
        <w:rPr>
          <w:b/>
          <w:caps/>
          <w:sz w:val="16"/>
          <w:szCs w:val="16"/>
        </w:rPr>
      </w:pPr>
      <w:r w:rsidRPr="00581D66">
        <w:rPr>
          <w:b/>
          <w:caps/>
          <w:sz w:val="16"/>
          <w:szCs w:val="16"/>
        </w:rPr>
        <w:t>Повідомлення про проведення загальних зборів</w:t>
      </w:r>
    </w:p>
    <w:p w:rsidR="00654EF1" w:rsidRPr="00581D66" w:rsidRDefault="00605F4D" w:rsidP="00CD6EBB">
      <w:pPr>
        <w:jc w:val="both"/>
        <w:rPr>
          <w:sz w:val="16"/>
          <w:szCs w:val="16"/>
        </w:rPr>
      </w:pPr>
      <w:r w:rsidRPr="00581D66">
        <w:rPr>
          <w:color w:val="000000"/>
          <w:sz w:val="16"/>
          <w:szCs w:val="16"/>
        </w:rPr>
        <w:t xml:space="preserve">ПРИВАТНЕ АКЦІОНЕРНЕ ТОВАРИСТВО </w:t>
      </w:r>
      <w:r w:rsidR="000F2BD2" w:rsidRPr="00581D66">
        <w:rPr>
          <w:color w:val="000000"/>
          <w:sz w:val="16"/>
          <w:szCs w:val="16"/>
        </w:rPr>
        <w:t>«</w:t>
      </w:r>
      <w:r w:rsidR="00461891" w:rsidRPr="00581D66">
        <w:rPr>
          <w:color w:val="000000"/>
          <w:sz w:val="16"/>
          <w:szCs w:val="16"/>
        </w:rPr>
        <w:t>БОРОДЯНСЬКЕ АВТОТРАНСПОРТНЕ ПІДПРИЄМСТВО 13237</w:t>
      </w:r>
      <w:r w:rsidR="000F2BD2" w:rsidRPr="00581D66">
        <w:rPr>
          <w:color w:val="000000"/>
          <w:sz w:val="16"/>
          <w:szCs w:val="16"/>
        </w:rPr>
        <w:t>»</w:t>
      </w:r>
      <w:r w:rsidRPr="00581D66">
        <w:rPr>
          <w:color w:val="000000"/>
          <w:sz w:val="16"/>
          <w:szCs w:val="16"/>
        </w:rPr>
        <w:t xml:space="preserve"> </w:t>
      </w:r>
      <w:r w:rsidR="00654EF1" w:rsidRPr="00581D66">
        <w:rPr>
          <w:sz w:val="16"/>
          <w:szCs w:val="16"/>
        </w:rPr>
        <w:t xml:space="preserve"> (код ЄДРПОУ </w:t>
      </w:r>
      <w:r w:rsidRPr="00581D66">
        <w:rPr>
          <w:color w:val="000000"/>
          <w:sz w:val="16"/>
          <w:szCs w:val="16"/>
        </w:rPr>
        <w:t>23239330</w:t>
      </w:r>
      <w:r w:rsidR="00654EF1" w:rsidRPr="00581D66">
        <w:rPr>
          <w:sz w:val="16"/>
          <w:szCs w:val="16"/>
        </w:rPr>
        <w:t>, місцезнаходження:</w:t>
      </w:r>
      <w:r w:rsidR="00BB2536" w:rsidRPr="00581D66">
        <w:rPr>
          <w:sz w:val="16"/>
          <w:szCs w:val="16"/>
        </w:rPr>
        <w:t xml:space="preserve"> </w:t>
      </w:r>
      <w:r w:rsidR="00654EF1" w:rsidRPr="00581D66">
        <w:rPr>
          <w:sz w:val="16"/>
          <w:szCs w:val="16"/>
        </w:rPr>
        <w:t xml:space="preserve">Україна, </w:t>
      </w:r>
      <w:r w:rsidRPr="00581D66">
        <w:rPr>
          <w:color w:val="000000"/>
          <w:sz w:val="16"/>
          <w:szCs w:val="16"/>
        </w:rPr>
        <w:t>07800, Київська обл. Бородянський р-н, смт. Бородянка, вул. Вокзальна, 88,</w:t>
      </w:r>
      <w:r w:rsidR="00654EF1" w:rsidRPr="00581D66">
        <w:rPr>
          <w:sz w:val="16"/>
          <w:szCs w:val="16"/>
        </w:rPr>
        <w:t xml:space="preserve"> тел. </w:t>
      </w:r>
      <w:r w:rsidRPr="00581D66">
        <w:rPr>
          <w:color w:val="000000"/>
          <w:sz w:val="16"/>
          <w:szCs w:val="16"/>
        </w:rPr>
        <w:t>0447756994</w:t>
      </w:r>
      <w:r w:rsidRPr="00581D66">
        <w:rPr>
          <w:sz w:val="16"/>
          <w:szCs w:val="16"/>
        </w:rPr>
        <w:t xml:space="preserve"> </w:t>
      </w:r>
      <w:r w:rsidR="00654EF1" w:rsidRPr="00581D66">
        <w:rPr>
          <w:sz w:val="16"/>
          <w:szCs w:val="16"/>
        </w:rPr>
        <w:t xml:space="preserve">(надалі – Товариство) повідомляє, що чергові річні Загальні збори акціонерів Товариства відбудуться </w:t>
      </w:r>
      <w:r w:rsidR="002D090D" w:rsidRPr="00581D66">
        <w:rPr>
          <w:sz w:val="16"/>
          <w:szCs w:val="16"/>
        </w:rPr>
        <w:t>2</w:t>
      </w:r>
      <w:r w:rsidR="0099043E" w:rsidRPr="00581D66">
        <w:rPr>
          <w:sz w:val="16"/>
          <w:szCs w:val="16"/>
        </w:rPr>
        <w:t>6</w:t>
      </w:r>
      <w:r w:rsidR="002D090D" w:rsidRPr="00581D66">
        <w:rPr>
          <w:sz w:val="16"/>
          <w:szCs w:val="16"/>
        </w:rPr>
        <w:t xml:space="preserve"> квітня 201</w:t>
      </w:r>
      <w:r w:rsidR="00E42538" w:rsidRPr="00581D66">
        <w:rPr>
          <w:sz w:val="16"/>
          <w:szCs w:val="16"/>
        </w:rPr>
        <w:t>9</w:t>
      </w:r>
      <w:r w:rsidR="00654EF1" w:rsidRPr="00581D66">
        <w:rPr>
          <w:sz w:val="16"/>
          <w:szCs w:val="16"/>
        </w:rPr>
        <w:t xml:space="preserve"> р. о </w:t>
      </w:r>
      <w:r w:rsidR="00E42538" w:rsidRPr="00581D66">
        <w:rPr>
          <w:sz w:val="16"/>
          <w:szCs w:val="16"/>
        </w:rPr>
        <w:t>12</w:t>
      </w:r>
      <w:r w:rsidR="00654EF1" w:rsidRPr="00581D66">
        <w:rPr>
          <w:sz w:val="16"/>
          <w:szCs w:val="16"/>
        </w:rPr>
        <w:t>:</w:t>
      </w:r>
      <w:r w:rsidR="0099043E" w:rsidRPr="00581D66">
        <w:rPr>
          <w:sz w:val="16"/>
          <w:szCs w:val="16"/>
        </w:rPr>
        <w:t>3</w:t>
      </w:r>
      <w:r w:rsidR="00461891" w:rsidRPr="00581D66">
        <w:rPr>
          <w:sz w:val="16"/>
          <w:szCs w:val="16"/>
        </w:rPr>
        <w:t>0</w:t>
      </w:r>
      <w:r w:rsidR="00654EF1" w:rsidRPr="00581D66">
        <w:rPr>
          <w:sz w:val="16"/>
          <w:szCs w:val="16"/>
        </w:rPr>
        <w:t xml:space="preserve"> за адресою: </w:t>
      </w:r>
      <w:r w:rsidRPr="00581D66">
        <w:rPr>
          <w:sz w:val="16"/>
          <w:szCs w:val="16"/>
        </w:rPr>
        <w:t xml:space="preserve">Україна, </w:t>
      </w:r>
      <w:r w:rsidRPr="00581D66">
        <w:rPr>
          <w:color w:val="000000"/>
          <w:sz w:val="16"/>
          <w:szCs w:val="16"/>
        </w:rPr>
        <w:t xml:space="preserve">07800, Київська обл. Бородянський р-н, смт. Бородянка, вул. Вокзальна, 88, </w:t>
      </w:r>
      <w:r w:rsidRPr="00581D66">
        <w:rPr>
          <w:color w:val="000000"/>
          <w:spacing w:val="-5"/>
          <w:sz w:val="16"/>
          <w:szCs w:val="16"/>
        </w:rPr>
        <w:t xml:space="preserve">адміністративна будівля </w:t>
      </w:r>
      <w:proofErr w:type="spellStart"/>
      <w:r w:rsidRPr="00581D66">
        <w:rPr>
          <w:bCs/>
          <w:color w:val="343434"/>
          <w:spacing w:val="-1"/>
          <w:sz w:val="16"/>
          <w:szCs w:val="16"/>
        </w:rPr>
        <w:t>ПрАТ</w:t>
      </w:r>
      <w:proofErr w:type="spellEnd"/>
      <w:r w:rsidRPr="00581D66">
        <w:rPr>
          <w:bCs/>
          <w:color w:val="343434"/>
          <w:spacing w:val="-1"/>
          <w:sz w:val="16"/>
          <w:szCs w:val="16"/>
        </w:rPr>
        <w:t xml:space="preserve"> "</w:t>
      </w:r>
      <w:r w:rsidRPr="00581D66">
        <w:rPr>
          <w:color w:val="000000"/>
          <w:spacing w:val="-5"/>
          <w:sz w:val="16"/>
          <w:szCs w:val="16"/>
        </w:rPr>
        <w:t>Бородянське АТП 13237", 2 поверх, зал нарад</w:t>
      </w:r>
      <w:r w:rsidR="00654EF1" w:rsidRPr="00581D66">
        <w:rPr>
          <w:sz w:val="16"/>
          <w:szCs w:val="16"/>
        </w:rPr>
        <w:t>.</w:t>
      </w:r>
    </w:p>
    <w:p w:rsidR="00654EF1" w:rsidRPr="00581D66" w:rsidRDefault="00654EF1" w:rsidP="00CD6EBB">
      <w:pPr>
        <w:tabs>
          <w:tab w:val="num" w:pos="284"/>
          <w:tab w:val="left" w:pos="4359"/>
        </w:tabs>
        <w:jc w:val="both"/>
        <w:rPr>
          <w:sz w:val="16"/>
          <w:szCs w:val="16"/>
        </w:rPr>
      </w:pPr>
      <w:r w:rsidRPr="00581D66">
        <w:rPr>
          <w:sz w:val="16"/>
          <w:szCs w:val="16"/>
        </w:rPr>
        <w:t xml:space="preserve">Реєстрація акціонерів (учасників) для участі у загальних зборах відбудеться в день та за місцем проведення зборів з </w:t>
      </w:r>
      <w:r w:rsidR="00E61DFA" w:rsidRPr="00581D66">
        <w:rPr>
          <w:sz w:val="16"/>
          <w:szCs w:val="16"/>
        </w:rPr>
        <w:t>1</w:t>
      </w:r>
      <w:r w:rsidR="0099043E" w:rsidRPr="00581D66">
        <w:rPr>
          <w:sz w:val="16"/>
          <w:szCs w:val="16"/>
        </w:rPr>
        <w:t>2</w:t>
      </w:r>
      <w:r w:rsidRPr="00581D66">
        <w:rPr>
          <w:sz w:val="16"/>
          <w:szCs w:val="16"/>
        </w:rPr>
        <w:t xml:space="preserve"> години </w:t>
      </w:r>
      <w:r w:rsidR="00E42538" w:rsidRPr="00581D66">
        <w:rPr>
          <w:sz w:val="16"/>
          <w:szCs w:val="16"/>
        </w:rPr>
        <w:t>00</w:t>
      </w:r>
      <w:r w:rsidRPr="00581D66">
        <w:rPr>
          <w:sz w:val="16"/>
          <w:szCs w:val="16"/>
        </w:rPr>
        <w:t xml:space="preserve"> хвилин до </w:t>
      </w:r>
      <w:r w:rsidR="00E61DFA" w:rsidRPr="00581D66">
        <w:rPr>
          <w:sz w:val="16"/>
          <w:szCs w:val="16"/>
        </w:rPr>
        <w:t>1</w:t>
      </w:r>
      <w:r w:rsidR="0099043E" w:rsidRPr="00581D66">
        <w:rPr>
          <w:sz w:val="16"/>
          <w:szCs w:val="16"/>
        </w:rPr>
        <w:t>2</w:t>
      </w:r>
      <w:r w:rsidR="002D090D" w:rsidRPr="00581D66">
        <w:rPr>
          <w:sz w:val="16"/>
          <w:szCs w:val="16"/>
        </w:rPr>
        <w:t xml:space="preserve"> години </w:t>
      </w:r>
      <w:r w:rsidR="0099043E" w:rsidRPr="00581D66">
        <w:rPr>
          <w:sz w:val="16"/>
          <w:szCs w:val="16"/>
        </w:rPr>
        <w:t>2</w:t>
      </w:r>
      <w:r w:rsidR="00461891" w:rsidRPr="00581D66">
        <w:rPr>
          <w:sz w:val="16"/>
          <w:szCs w:val="16"/>
        </w:rPr>
        <w:t>5</w:t>
      </w:r>
      <w:r w:rsidRPr="00581D66">
        <w:rPr>
          <w:sz w:val="16"/>
          <w:szCs w:val="16"/>
        </w:rPr>
        <w:t xml:space="preserve"> хвилин. </w:t>
      </w:r>
    </w:p>
    <w:p w:rsidR="00654EF1" w:rsidRPr="00581D66" w:rsidRDefault="00654EF1" w:rsidP="00CD6EBB">
      <w:pPr>
        <w:tabs>
          <w:tab w:val="num" w:pos="284"/>
          <w:tab w:val="left" w:pos="4359"/>
        </w:tabs>
        <w:jc w:val="both"/>
        <w:rPr>
          <w:sz w:val="16"/>
          <w:szCs w:val="16"/>
        </w:rPr>
      </w:pPr>
      <w:r w:rsidRPr="00581D66">
        <w:rPr>
          <w:sz w:val="16"/>
          <w:szCs w:val="16"/>
        </w:rPr>
        <w:t xml:space="preserve">Дата складення переліку акціонерів, які мають право на участь у загальних зборах – станом на 24 годину </w:t>
      </w:r>
      <w:r w:rsidR="002D090D" w:rsidRPr="00581D66">
        <w:rPr>
          <w:sz w:val="16"/>
          <w:szCs w:val="16"/>
        </w:rPr>
        <w:t>2</w:t>
      </w:r>
      <w:r w:rsidR="00E42538" w:rsidRPr="00581D66">
        <w:rPr>
          <w:sz w:val="16"/>
          <w:szCs w:val="16"/>
        </w:rPr>
        <w:t>2</w:t>
      </w:r>
      <w:r w:rsidR="0099043E" w:rsidRPr="00581D66">
        <w:rPr>
          <w:sz w:val="16"/>
          <w:szCs w:val="16"/>
        </w:rPr>
        <w:t>.04.201</w:t>
      </w:r>
      <w:r w:rsidR="00E42538" w:rsidRPr="00581D66">
        <w:rPr>
          <w:sz w:val="16"/>
          <w:szCs w:val="16"/>
        </w:rPr>
        <w:t>9</w:t>
      </w:r>
      <w:r w:rsidRPr="00581D66">
        <w:rPr>
          <w:sz w:val="16"/>
          <w:szCs w:val="16"/>
        </w:rPr>
        <w:t xml:space="preserve"> р.</w:t>
      </w:r>
    </w:p>
    <w:p w:rsidR="00581D66" w:rsidRPr="00581D66" w:rsidRDefault="00581D66" w:rsidP="00581D66">
      <w:pPr>
        <w:jc w:val="both"/>
        <w:rPr>
          <w:sz w:val="16"/>
          <w:szCs w:val="16"/>
        </w:rPr>
      </w:pPr>
      <w:r w:rsidRPr="00581D66">
        <w:rPr>
          <w:sz w:val="16"/>
          <w:szCs w:val="16"/>
        </w:rPr>
        <w:t>Загальна кількість акцій Товариства (станом на дату складення переліку осіб, яким надсилається повідомлення про проведення Загальних зборів, а саме, на 19 березня 2019 р.) – 4 778 730 (чотири мільйони сімсот сімдесят вісім тисяч сімсот тридцять)  штук простих іменних акцій.</w:t>
      </w:r>
    </w:p>
    <w:p w:rsidR="00581D66" w:rsidRPr="00581D66" w:rsidRDefault="00581D66" w:rsidP="00581D66">
      <w:pPr>
        <w:jc w:val="both"/>
        <w:rPr>
          <w:sz w:val="14"/>
          <w:szCs w:val="14"/>
        </w:rPr>
      </w:pPr>
      <w:r w:rsidRPr="00581D66">
        <w:rPr>
          <w:sz w:val="16"/>
          <w:szCs w:val="16"/>
        </w:rPr>
        <w:t xml:space="preserve">Загальна кількість голосуючих акцій Товариства (станом на дату складення переліку осіб, яким надсилається повідомлення про проведення Загальних зборів, а саме, на 19 березня 2019 р.) – </w:t>
      </w:r>
      <w:r>
        <w:rPr>
          <w:sz w:val="14"/>
          <w:szCs w:val="14"/>
        </w:rPr>
        <w:t xml:space="preserve">4 609 996 </w:t>
      </w:r>
      <w:r w:rsidRPr="00581D66">
        <w:rPr>
          <w:sz w:val="16"/>
          <w:szCs w:val="16"/>
        </w:rPr>
        <w:t>(</w:t>
      </w:r>
      <w:r>
        <w:rPr>
          <w:sz w:val="16"/>
          <w:szCs w:val="16"/>
        </w:rPr>
        <w:t>чотири мільйони шістсот дев’ять тисяч дев’ятсот дев’яносто шість</w:t>
      </w:r>
      <w:r w:rsidRPr="00581D66">
        <w:rPr>
          <w:sz w:val="16"/>
          <w:szCs w:val="16"/>
        </w:rPr>
        <w:t>)  штук простих іменних акцій.</w:t>
      </w:r>
    </w:p>
    <w:p w:rsidR="00654EF1" w:rsidRPr="00581D66" w:rsidRDefault="00654EF1" w:rsidP="00CD6EBB">
      <w:pPr>
        <w:ind w:firstLine="540"/>
        <w:jc w:val="center"/>
        <w:rPr>
          <w:b/>
          <w:sz w:val="16"/>
          <w:szCs w:val="16"/>
        </w:rPr>
      </w:pPr>
      <w:r w:rsidRPr="00581D66">
        <w:rPr>
          <w:b/>
          <w:sz w:val="16"/>
          <w:szCs w:val="16"/>
        </w:rPr>
        <w:t>Перелік питань, що виносяться на голосування, згідно з порядком денним:</w:t>
      </w:r>
    </w:p>
    <w:p w:rsidR="0099043E" w:rsidRPr="00581D66" w:rsidRDefault="0099043E" w:rsidP="00CD6EBB">
      <w:pPr>
        <w:numPr>
          <w:ilvl w:val="0"/>
          <w:numId w:val="1"/>
        </w:numPr>
        <w:ind w:left="0" w:firstLine="0"/>
        <w:jc w:val="both"/>
        <w:rPr>
          <w:sz w:val="16"/>
          <w:szCs w:val="16"/>
        </w:rPr>
      </w:pPr>
      <w:r w:rsidRPr="00581D66">
        <w:rPr>
          <w:sz w:val="16"/>
          <w:szCs w:val="16"/>
        </w:rPr>
        <w:t>Про обрання членів лічильної комісії, прийняття рішення про припинення їх повноважень.</w:t>
      </w:r>
    </w:p>
    <w:p w:rsidR="00F61741" w:rsidRPr="00581D66" w:rsidRDefault="00F61741" w:rsidP="00CD6EBB">
      <w:pPr>
        <w:numPr>
          <w:ilvl w:val="0"/>
          <w:numId w:val="1"/>
        </w:numPr>
        <w:ind w:left="0" w:firstLine="0"/>
        <w:jc w:val="both"/>
        <w:rPr>
          <w:sz w:val="16"/>
          <w:szCs w:val="16"/>
        </w:rPr>
      </w:pPr>
      <w:r w:rsidRPr="00581D66">
        <w:rPr>
          <w:sz w:val="16"/>
          <w:szCs w:val="16"/>
        </w:rPr>
        <w:t>Про затвердження порядку та способу засвідчення бюлетенів для голосування.</w:t>
      </w:r>
    </w:p>
    <w:p w:rsidR="00F61741" w:rsidRPr="00581D66" w:rsidRDefault="00F61741" w:rsidP="00CD6EBB">
      <w:pPr>
        <w:numPr>
          <w:ilvl w:val="0"/>
          <w:numId w:val="1"/>
        </w:numPr>
        <w:ind w:left="0" w:firstLine="0"/>
        <w:jc w:val="both"/>
        <w:rPr>
          <w:sz w:val="16"/>
          <w:szCs w:val="16"/>
        </w:rPr>
      </w:pPr>
      <w:r w:rsidRPr="00581D66">
        <w:rPr>
          <w:sz w:val="16"/>
          <w:szCs w:val="16"/>
        </w:rPr>
        <w:t xml:space="preserve">Про прийняття рішення за наслідками розгляду звіту </w:t>
      </w:r>
      <w:r w:rsidR="000F2BD2" w:rsidRPr="00581D66">
        <w:rPr>
          <w:sz w:val="16"/>
          <w:szCs w:val="16"/>
        </w:rPr>
        <w:t>Н</w:t>
      </w:r>
      <w:r w:rsidRPr="00581D66">
        <w:rPr>
          <w:sz w:val="16"/>
          <w:szCs w:val="16"/>
        </w:rPr>
        <w:t>аглядової ради Товариства за 201</w:t>
      </w:r>
      <w:r w:rsidR="000F2BD2" w:rsidRPr="00581D66">
        <w:rPr>
          <w:sz w:val="16"/>
          <w:szCs w:val="16"/>
        </w:rPr>
        <w:t>8</w:t>
      </w:r>
      <w:r w:rsidRPr="00581D66">
        <w:rPr>
          <w:sz w:val="16"/>
          <w:szCs w:val="16"/>
        </w:rPr>
        <w:t xml:space="preserve"> рік.</w:t>
      </w:r>
    </w:p>
    <w:p w:rsidR="00F61741" w:rsidRPr="00581D66" w:rsidRDefault="00F61741" w:rsidP="00CD6EBB">
      <w:pPr>
        <w:numPr>
          <w:ilvl w:val="0"/>
          <w:numId w:val="1"/>
        </w:numPr>
        <w:ind w:left="0" w:firstLine="0"/>
        <w:jc w:val="both"/>
        <w:rPr>
          <w:sz w:val="16"/>
          <w:szCs w:val="16"/>
        </w:rPr>
      </w:pPr>
      <w:r w:rsidRPr="00581D66">
        <w:rPr>
          <w:sz w:val="16"/>
          <w:szCs w:val="16"/>
        </w:rPr>
        <w:t xml:space="preserve">Про прийняття рішення за наслідками розгляду звіту </w:t>
      </w:r>
      <w:r w:rsidR="000F2BD2" w:rsidRPr="00581D66">
        <w:rPr>
          <w:sz w:val="16"/>
          <w:szCs w:val="16"/>
        </w:rPr>
        <w:t>Г</w:t>
      </w:r>
      <w:r w:rsidRPr="00581D66">
        <w:rPr>
          <w:sz w:val="16"/>
          <w:szCs w:val="16"/>
        </w:rPr>
        <w:t>енерального директора Товариства за 201</w:t>
      </w:r>
      <w:r w:rsidR="000F2BD2" w:rsidRPr="00581D66">
        <w:rPr>
          <w:sz w:val="16"/>
          <w:szCs w:val="16"/>
        </w:rPr>
        <w:t>8</w:t>
      </w:r>
      <w:r w:rsidRPr="00581D66">
        <w:rPr>
          <w:sz w:val="16"/>
          <w:szCs w:val="16"/>
        </w:rPr>
        <w:t xml:space="preserve"> рік. </w:t>
      </w:r>
    </w:p>
    <w:p w:rsidR="00F61741" w:rsidRPr="00581D66" w:rsidRDefault="00F61741" w:rsidP="00CD6EBB">
      <w:pPr>
        <w:numPr>
          <w:ilvl w:val="0"/>
          <w:numId w:val="1"/>
        </w:numPr>
        <w:ind w:left="0" w:firstLine="0"/>
        <w:jc w:val="both"/>
        <w:rPr>
          <w:sz w:val="16"/>
          <w:szCs w:val="16"/>
        </w:rPr>
      </w:pPr>
      <w:r w:rsidRPr="00581D66">
        <w:rPr>
          <w:sz w:val="16"/>
          <w:szCs w:val="16"/>
        </w:rPr>
        <w:t xml:space="preserve">Про затвердження </w:t>
      </w:r>
      <w:r w:rsidR="0099043E" w:rsidRPr="00581D66">
        <w:rPr>
          <w:sz w:val="16"/>
          <w:szCs w:val="16"/>
        </w:rPr>
        <w:t>річного звіту Товариства за 201</w:t>
      </w:r>
      <w:r w:rsidR="000F2BD2" w:rsidRPr="00581D66">
        <w:rPr>
          <w:sz w:val="16"/>
          <w:szCs w:val="16"/>
        </w:rPr>
        <w:t>8</w:t>
      </w:r>
      <w:r w:rsidRPr="00581D66">
        <w:rPr>
          <w:sz w:val="16"/>
          <w:szCs w:val="16"/>
        </w:rPr>
        <w:t xml:space="preserve"> рік.</w:t>
      </w:r>
    </w:p>
    <w:p w:rsidR="00F61741" w:rsidRPr="00581D66" w:rsidRDefault="00F61741" w:rsidP="00CD6EBB">
      <w:pPr>
        <w:numPr>
          <w:ilvl w:val="0"/>
          <w:numId w:val="1"/>
        </w:numPr>
        <w:ind w:left="0" w:firstLine="0"/>
        <w:jc w:val="both"/>
        <w:rPr>
          <w:sz w:val="16"/>
          <w:szCs w:val="16"/>
        </w:rPr>
      </w:pPr>
      <w:r w:rsidRPr="00581D66">
        <w:rPr>
          <w:sz w:val="16"/>
          <w:szCs w:val="16"/>
        </w:rPr>
        <w:t>Про розподіл прибутку і збитків То</w:t>
      </w:r>
      <w:r w:rsidR="0099043E" w:rsidRPr="00581D66">
        <w:rPr>
          <w:sz w:val="16"/>
          <w:szCs w:val="16"/>
        </w:rPr>
        <w:t>вариства за 201</w:t>
      </w:r>
      <w:r w:rsidR="000F2BD2" w:rsidRPr="00581D66">
        <w:rPr>
          <w:sz w:val="16"/>
          <w:szCs w:val="16"/>
        </w:rPr>
        <w:t>8</w:t>
      </w:r>
      <w:r w:rsidRPr="00581D66">
        <w:rPr>
          <w:sz w:val="16"/>
          <w:szCs w:val="16"/>
        </w:rPr>
        <w:t xml:space="preserve"> рік.</w:t>
      </w:r>
    </w:p>
    <w:p w:rsidR="000F2BD2" w:rsidRPr="00581D66" w:rsidRDefault="00F61741" w:rsidP="00CD6EBB">
      <w:pPr>
        <w:numPr>
          <w:ilvl w:val="0"/>
          <w:numId w:val="1"/>
        </w:numPr>
        <w:ind w:left="0" w:firstLine="0"/>
        <w:jc w:val="both"/>
        <w:rPr>
          <w:sz w:val="16"/>
          <w:szCs w:val="16"/>
        </w:rPr>
      </w:pPr>
      <w:r w:rsidRPr="00581D66">
        <w:rPr>
          <w:sz w:val="16"/>
          <w:szCs w:val="16"/>
        </w:rPr>
        <w:t>Прий</w:t>
      </w:r>
      <w:r w:rsidR="007F2EE5" w:rsidRPr="00581D66">
        <w:rPr>
          <w:sz w:val="16"/>
          <w:szCs w:val="16"/>
        </w:rPr>
        <w:t>няття рішення про надання попередньої</w:t>
      </w:r>
      <w:r w:rsidRPr="00581D66">
        <w:rPr>
          <w:sz w:val="16"/>
          <w:szCs w:val="16"/>
        </w:rPr>
        <w:t xml:space="preserve"> згоди на вчинення значних правочинів.</w:t>
      </w:r>
    </w:p>
    <w:p w:rsidR="000F2BD2" w:rsidRPr="00581D66" w:rsidRDefault="000F2BD2" w:rsidP="00CD6EBB">
      <w:pPr>
        <w:pStyle w:val="a7"/>
        <w:ind w:left="0"/>
        <w:jc w:val="center"/>
        <w:rPr>
          <w:b/>
          <w:spacing w:val="-4"/>
          <w:sz w:val="16"/>
          <w:szCs w:val="16"/>
        </w:rPr>
      </w:pPr>
      <w:r w:rsidRPr="00581D66">
        <w:rPr>
          <w:b/>
          <w:spacing w:val="-4"/>
          <w:sz w:val="16"/>
          <w:szCs w:val="16"/>
        </w:rPr>
        <w:t>Проект порядку денного та проекти рішень:</w:t>
      </w:r>
    </w:p>
    <w:p w:rsidR="000F2BD2" w:rsidRPr="00581D66" w:rsidRDefault="000F2BD2" w:rsidP="00CD6EBB">
      <w:pPr>
        <w:pStyle w:val="a7"/>
        <w:numPr>
          <w:ilvl w:val="0"/>
          <w:numId w:val="11"/>
        </w:numPr>
        <w:ind w:left="0"/>
        <w:jc w:val="both"/>
        <w:rPr>
          <w:spacing w:val="-4"/>
          <w:sz w:val="16"/>
          <w:szCs w:val="16"/>
        </w:rPr>
      </w:pPr>
      <w:r w:rsidRPr="00581D66">
        <w:rPr>
          <w:spacing w:val="-4"/>
          <w:sz w:val="16"/>
          <w:szCs w:val="16"/>
        </w:rPr>
        <w:t>Про обрання членів лічильної комісії, прийняття рішення про припинення їх повноважень.</w:t>
      </w:r>
    </w:p>
    <w:p w:rsidR="000F2BD2" w:rsidRPr="00581D66" w:rsidRDefault="000F2BD2" w:rsidP="00CD6EBB">
      <w:pPr>
        <w:pStyle w:val="a7"/>
        <w:ind w:left="0"/>
        <w:jc w:val="both"/>
        <w:rPr>
          <w:b/>
          <w:spacing w:val="-4"/>
          <w:sz w:val="16"/>
          <w:szCs w:val="16"/>
          <w:u w:val="single"/>
        </w:rPr>
      </w:pPr>
      <w:r w:rsidRPr="00581D66">
        <w:rPr>
          <w:b/>
          <w:spacing w:val="-4"/>
          <w:sz w:val="16"/>
          <w:szCs w:val="16"/>
          <w:u w:val="single"/>
        </w:rPr>
        <w:t>Проект рішення:</w:t>
      </w:r>
      <w:r w:rsidRPr="00581D66">
        <w:rPr>
          <w:sz w:val="16"/>
          <w:szCs w:val="16"/>
        </w:rPr>
        <w:t xml:space="preserve"> </w:t>
      </w:r>
    </w:p>
    <w:p w:rsidR="000F2BD2" w:rsidRPr="00581D66" w:rsidRDefault="000F2BD2" w:rsidP="00CD6EBB">
      <w:pPr>
        <w:pStyle w:val="a7"/>
        <w:ind w:left="0"/>
        <w:jc w:val="both"/>
        <w:rPr>
          <w:b/>
          <w:spacing w:val="-4"/>
          <w:sz w:val="16"/>
          <w:szCs w:val="16"/>
          <w:u w:val="single"/>
        </w:rPr>
      </w:pPr>
      <w:r w:rsidRPr="00581D66">
        <w:rPr>
          <w:spacing w:val="-4"/>
          <w:sz w:val="16"/>
          <w:szCs w:val="16"/>
        </w:rPr>
        <w:t>Обрати  – Данілова Михайла Володимировича головою лічильної комісії Зборів Товариства, Шевченко Наталію Василівну та Слончака Вадима Олександровича – членами лічильної комісії Зборів Товариства. Повноваження лічильної комісії вважати припиненими після розгляду та підрахунку голосів з усіх питань порядку денного.</w:t>
      </w:r>
    </w:p>
    <w:p w:rsidR="000F2BD2" w:rsidRPr="00581D66" w:rsidRDefault="000F2BD2" w:rsidP="00CD6EBB">
      <w:pPr>
        <w:pStyle w:val="a7"/>
        <w:numPr>
          <w:ilvl w:val="0"/>
          <w:numId w:val="11"/>
        </w:numPr>
        <w:ind w:left="0"/>
        <w:jc w:val="both"/>
        <w:rPr>
          <w:spacing w:val="-4"/>
          <w:sz w:val="16"/>
          <w:szCs w:val="16"/>
        </w:rPr>
      </w:pPr>
      <w:r w:rsidRPr="00581D66">
        <w:rPr>
          <w:spacing w:val="-4"/>
          <w:sz w:val="16"/>
          <w:szCs w:val="16"/>
        </w:rPr>
        <w:t>Про затвердження порядку та способу засвідчення бюлетенів для голосування.</w:t>
      </w:r>
    </w:p>
    <w:p w:rsidR="000F2BD2" w:rsidRPr="00581D66" w:rsidRDefault="000F2BD2" w:rsidP="00CD6EBB">
      <w:pPr>
        <w:pStyle w:val="a7"/>
        <w:ind w:left="0"/>
        <w:jc w:val="both"/>
        <w:rPr>
          <w:spacing w:val="-4"/>
          <w:sz w:val="16"/>
          <w:szCs w:val="16"/>
        </w:rPr>
      </w:pPr>
      <w:r w:rsidRPr="00581D66">
        <w:rPr>
          <w:b/>
          <w:spacing w:val="-4"/>
          <w:sz w:val="16"/>
          <w:szCs w:val="16"/>
          <w:u w:val="single"/>
        </w:rPr>
        <w:t>Проект рішення:</w:t>
      </w:r>
      <w:r w:rsidRPr="00581D66">
        <w:rPr>
          <w:spacing w:val="-4"/>
          <w:sz w:val="16"/>
          <w:szCs w:val="16"/>
        </w:rPr>
        <w:t xml:space="preserve"> </w:t>
      </w:r>
    </w:p>
    <w:p w:rsidR="000F2BD2" w:rsidRPr="00581D66" w:rsidRDefault="000F2BD2" w:rsidP="00CD6EBB">
      <w:pPr>
        <w:pStyle w:val="a7"/>
        <w:ind w:left="0"/>
        <w:jc w:val="both"/>
        <w:rPr>
          <w:spacing w:val="-4"/>
          <w:sz w:val="16"/>
          <w:szCs w:val="16"/>
        </w:rPr>
      </w:pPr>
      <w:r w:rsidRPr="00581D66">
        <w:rPr>
          <w:spacing w:val="-4"/>
          <w:sz w:val="16"/>
          <w:szCs w:val="16"/>
        </w:rPr>
        <w:t>Кожний бюлетень для голосування на загальних зборах акціонерів засвідчується на кожній сторінці під час реєстрації акціонерів для участі у відповідних загальних зборах підписом члена реєстраційної комісії, який видає бюлетені акціонеру (його представнику) при його реєстрації.</w:t>
      </w:r>
    </w:p>
    <w:p w:rsidR="000F2BD2" w:rsidRPr="00581D66" w:rsidRDefault="000F2BD2" w:rsidP="00CD6EBB">
      <w:pPr>
        <w:pStyle w:val="a7"/>
        <w:numPr>
          <w:ilvl w:val="0"/>
          <w:numId w:val="11"/>
        </w:numPr>
        <w:ind w:left="0"/>
        <w:jc w:val="both"/>
        <w:rPr>
          <w:spacing w:val="-4"/>
          <w:sz w:val="16"/>
          <w:szCs w:val="16"/>
        </w:rPr>
      </w:pPr>
      <w:r w:rsidRPr="00581D66">
        <w:rPr>
          <w:spacing w:val="-4"/>
          <w:sz w:val="16"/>
          <w:szCs w:val="16"/>
        </w:rPr>
        <w:t>Про прийняття рішення за наслідками розгляду звіту Наглядової ради Товариства за 2018 рік.</w:t>
      </w:r>
    </w:p>
    <w:p w:rsidR="000F2BD2" w:rsidRPr="00581D66" w:rsidRDefault="000F2BD2" w:rsidP="00CD6EBB">
      <w:pPr>
        <w:pStyle w:val="a7"/>
        <w:ind w:left="0"/>
        <w:jc w:val="both"/>
        <w:rPr>
          <w:b/>
          <w:spacing w:val="-4"/>
          <w:sz w:val="16"/>
          <w:szCs w:val="16"/>
          <w:u w:val="single"/>
        </w:rPr>
      </w:pPr>
      <w:r w:rsidRPr="00581D66">
        <w:rPr>
          <w:b/>
          <w:spacing w:val="-4"/>
          <w:sz w:val="16"/>
          <w:szCs w:val="16"/>
          <w:u w:val="single"/>
        </w:rPr>
        <w:t>Проект рішення:</w:t>
      </w:r>
    </w:p>
    <w:p w:rsidR="000F2BD2" w:rsidRPr="00581D66" w:rsidRDefault="000F2BD2" w:rsidP="00CD6EBB">
      <w:pPr>
        <w:pStyle w:val="a7"/>
        <w:ind w:left="0"/>
        <w:jc w:val="both"/>
        <w:rPr>
          <w:spacing w:val="-4"/>
          <w:sz w:val="16"/>
          <w:szCs w:val="16"/>
        </w:rPr>
      </w:pPr>
      <w:r w:rsidRPr="00581D66">
        <w:rPr>
          <w:spacing w:val="-4"/>
          <w:sz w:val="16"/>
          <w:szCs w:val="16"/>
        </w:rPr>
        <w:t>Затвердити звіт Наглядової ради Товариства про результати діяльності за 2018 рік.</w:t>
      </w:r>
    </w:p>
    <w:p w:rsidR="000F2BD2" w:rsidRPr="00581D66" w:rsidRDefault="000F2BD2" w:rsidP="00CD6EBB">
      <w:pPr>
        <w:pStyle w:val="a7"/>
        <w:numPr>
          <w:ilvl w:val="0"/>
          <w:numId w:val="11"/>
        </w:numPr>
        <w:ind w:left="0"/>
        <w:jc w:val="both"/>
        <w:rPr>
          <w:spacing w:val="-4"/>
          <w:sz w:val="16"/>
          <w:szCs w:val="16"/>
        </w:rPr>
      </w:pPr>
      <w:r w:rsidRPr="00581D66">
        <w:rPr>
          <w:spacing w:val="-4"/>
          <w:sz w:val="16"/>
          <w:szCs w:val="16"/>
        </w:rPr>
        <w:t>Про прийняття рішення за наслідками розгляду звіту Генерального директора Товариства  за 2018 рік.</w:t>
      </w:r>
    </w:p>
    <w:p w:rsidR="000F2BD2" w:rsidRPr="00581D66" w:rsidRDefault="000F2BD2" w:rsidP="00CD6EBB">
      <w:pPr>
        <w:pStyle w:val="a7"/>
        <w:ind w:left="0"/>
        <w:jc w:val="both"/>
        <w:rPr>
          <w:spacing w:val="-4"/>
          <w:sz w:val="16"/>
          <w:szCs w:val="16"/>
        </w:rPr>
      </w:pPr>
      <w:r w:rsidRPr="00581D66">
        <w:rPr>
          <w:b/>
          <w:spacing w:val="-4"/>
          <w:sz w:val="16"/>
          <w:szCs w:val="16"/>
          <w:u w:val="single"/>
        </w:rPr>
        <w:t>Проект рішення:</w:t>
      </w:r>
      <w:r w:rsidRPr="00581D66">
        <w:rPr>
          <w:spacing w:val="-4"/>
          <w:sz w:val="16"/>
          <w:szCs w:val="16"/>
        </w:rPr>
        <w:t xml:space="preserve"> </w:t>
      </w:r>
    </w:p>
    <w:p w:rsidR="000F2BD2" w:rsidRPr="00581D66" w:rsidRDefault="000F2BD2" w:rsidP="00CD6EBB">
      <w:pPr>
        <w:pStyle w:val="a7"/>
        <w:ind w:left="0"/>
        <w:jc w:val="both"/>
        <w:rPr>
          <w:spacing w:val="-4"/>
          <w:sz w:val="16"/>
          <w:szCs w:val="16"/>
        </w:rPr>
      </w:pPr>
      <w:r w:rsidRPr="00581D66">
        <w:rPr>
          <w:spacing w:val="-4"/>
          <w:sz w:val="16"/>
          <w:szCs w:val="16"/>
        </w:rPr>
        <w:t xml:space="preserve">Затвердити звіт Генерального директора Товариства про результати фінансово-господарської діяльності за 2018 рік.  </w:t>
      </w:r>
    </w:p>
    <w:p w:rsidR="000F2BD2" w:rsidRPr="00581D66" w:rsidRDefault="000F2BD2" w:rsidP="00CD6EBB">
      <w:pPr>
        <w:pStyle w:val="a7"/>
        <w:numPr>
          <w:ilvl w:val="0"/>
          <w:numId w:val="11"/>
        </w:numPr>
        <w:ind w:left="0"/>
        <w:jc w:val="both"/>
        <w:rPr>
          <w:spacing w:val="-4"/>
          <w:sz w:val="16"/>
          <w:szCs w:val="16"/>
        </w:rPr>
      </w:pPr>
      <w:r w:rsidRPr="00581D66">
        <w:rPr>
          <w:spacing w:val="-4"/>
          <w:sz w:val="16"/>
          <w:szCs w:val="16"/>
        </w:rPr>
        <w:t>Про затвердження річного звіту Товариства за 2018 рік.</w:t>
      </w:r>
    </w:p>
    <w:p w:rsidR="000F2BD2" w:rsidRPr="00581D66" w:rsidRDefault="000F2BD2" w:rsidP="00CD6EBB">
      <w:pPr>
        <w:pStyle w:val="a7"/>
        <w:ind w:left="0"/>
        <w:jc w:val="both"/>
        <w:rPr>
          <w:b/>
          <w:spacing w:val="-4"/>
          <w:sz w:val="16"/>
          <w:szCs w:val="16"/>
          <w:u w:val="single"/>
        </w:rPr>
      </w:pPr>
      <w:r w:rsidRPr="00581D66">
        <w:rPr>
          <w:b/>
          <w:spacing w:val="-4"/>
          <w:sz w:val="16"/>
          <w:szCs w:val="16"/>
          <w:u w:val="single"/>
        </w:rPr>
        <w:t xml:space="preserve">Проект рішення: </w:t>
      </w:r>
    </w:p>
    <w:p w:rsidR="000F2BD2" w:rsidRPr="00581D66" w:rsidRDefault="000F2BD2" w:rsidP="00CD6EBB">
      <w:pPr>
        <w:pStyle w:val="a7"/>
        <w:ind w:left="0"/>
        <w:jc w:val="both"/>
        <w:rPr>
          <w:spacing w:val="-4"/>
          <w:sz w:val="16"/>
          <w:szCs w:val="16"/>
        </w:rPr>
      </w:pPr>
      <w:r w:rsidRPr="00581D66">
        <w:rPr>
          <w:spacing w:val="-4"/>
          <w:sz w:val="16"/>
          <w:szCs w:val="16"/>
        </w:rPr>
        <w:t>Затвердити річний звіт Товариства за 2018 рік.</w:t>
      </w:r>
    </w:p>
    <w:p w:rsidR="000F2BD2" w:rsidRPr="00581D66" w:rsidRDefault="000F2BD2" w:rsidP="00CD6EBB">
      <w:pPr>
        <w:pStyle w:val="a7"/>
        <w:numPr>
          <w:ilvl w:val="0"/>
          <w:numId w:val="11"/>
        </w:numPr>
        <w:ind w:left="0"/>
        <w:jc w:val="both"/>
        <w:rPr>
          <w:spacing w:val="-4"/>
          <w:sz w:val="16"/>
          <w:szCs w:val="16"/>
        </w:rPr>
      </w:pPr>
      <w:r w:rsidRPr="00581D66">
        <w:rPr>
          <w:spacing w:val="-4"/>
          <w:sz w:val="16"/>
          <w:szCs w:val="16"/>
        </w:rPr>
        <w:t>Про розподіл прибутку і збитків Товариства за 2018 рік.</w:t>
      </w:r>
    </w:p>
    <w:p w:rsidR="000F2BD2" w:rsidRPr="00581D66" w:rsidRDefault="000F2BD2" w:rsidP="00CD6EBB">
      <w:pPr>
        <w:pStyle w:val="a7"/>
        <w:ind w:left="0"/>
        <w:jc w:val="both"/>
        <w:rPr>
          <w:b/>
          <w:spacing w:val="-4"/>
          <w:sz w:val="16"/>
          <w:szCs w:val="16"/>
          <w:u w:val="single"/>
        </w:rPr>
      </w:pPr>
      <w:r w:rsidRPr="00581D66">
        <w:rPr>
          <w:b/>
          <w:spacing w:val="-4"/>
          <w:sz w:val="16"/>
          <w:szCs w:val="16"/>
          <w:u w:val="single"/>
        </w:rPr>
        <w:t>Проект рішення:</w:t>
      </w:r>
    </w:p>
    <w:p w:rsidR="000F2BD2" w:rsidRPr="00581D66" w:rsidRDefault="000F2BD2" w:rsidP="00CD6EBB">
      <w:pPr>
        <w:pStyle w:val="a7"/>
        <w:ind w:left="0"/>
        <w:jc w:val="both"/>
        <w:rPr>
          <w:spacing w:val="-4"/>
          <w:sz w:val="16"/>
          <w:szCs w:val="16"/>
        </w:rPr>
      </w:pPr>
      <w:r w:rsidRPr="00581D66">
        <w:rPr>
          <w:spacing w:val="-4"/>
          <w:sz w:val="16"/>
          <w:szCs w:val="16"/>
        </w:rPr>
        <w:t>не здійснювати розподіл прибутку, річні дивіденди за 201</w:t>
      </w:r>
      <w:r w:rsidR="00CD6EBB" w:rsidRPr="00581D66">
        <w:rPr>
          <w:spacing w:val="-4"/>
          <w:sz w:val="16"/>
          <w:szCs w:val="16"/>
        </w:rPr>
        <w:t>8</w:t>
      </w:r>
      <w:r w:rsidRPr="00581D66">
        <w:rPr>
          <w:spacing w:val="-4"/>
          <w:sz w:val="16"/>
          <w:szCs w:val="16"/>
        </w:rPr>
        <w:t xml:space="preserve"> рік не нараховувати та не виплачувати, використати отриманий у 201</w:t>
      </w:r>
      <w:r w:rsidR="00CD6EBB" w:rsidRPr="00581D66">
        <w:rPr>
          <w:spacing w:val="-4"/>
          <w:sz w:val="16"/>
          <w:szCs w:val="16"/>
        </w:rPr>
        <w:t>8</w:t>
      </w:r>
      <w:r w:rsidRPr="00581D66">
        <w:rPr>
          <w:spacing w:val="-4"/>
          <w:sz w:val="16"/>
          <w:szCs w:val="16"/>
        </w:rPr>
        <w:t xml:space="preserve"> році прибуток для покриття збитків за попередні періоди.</w:t>
      </w:r>
    </w:p>
    <w:p w:rsidR="000F2BD2" w:rsidRPr="00581D66" w:rsidRDefault="000F2BD2" w:rsidP="00CD6EBB">
      <w:pPr>
        <w:pStyle w:val="a7"/>
        <w:numPr>
          <w:ilvl w:val="0"/>
          <w:numId w:val="11"/>
        </w:numPr>
        <w:ind w:left="0"/>
        <w:jc w:val="both"/>
        <w:rPr>
          <w:spacing w:val="-4"/>
          <w:sz w:val="16"/>
          <w:szCs w:val="16"/>
        </w:rPr>
      </w:pPr>
      <w:r w:rsidRPr="00581D66">
        <w:rPr>
          <w:spacing w:val="-4"/>
          <w:sz w:val="16"/>
          <w:szCs w:val="16"/>
        </w:rPr>
        <w:t xml:space="preserve">Прийняття рішення про надання попередньої згоди на вчинення значних правочинів, </w:t>
      </w:r>
      <w:r w:rsidRPr="00581D66">
        <w:rPr>
          <w:bCs/>
          <w:spacing w:val="-4"/>
          <w:sz w:val="16"/>
          <w:szCs w:val="16"/>
          <w:lang w:eastAsia="ru-RU"/>
        </w:rPr>
        <w:t>які можуть вчинятися Товариством протягом не більш як одного року з дати прийняття такого рішення.</w:t>
      </w:r>
    </w:p>
    <w:p w:rsidR="000F2BD2" w:rsidRPr="00581D66" w:rsidRDefault="000F2BD2" w:rsidP="00CD6EBB">
      <w:pPr>
        <w:pStyle w:val="a7"/>
        <w:ind w:left="0"/>
        <w:jc w:val="both"/>
        <w:rPr>
          <w:b/>
          <w:spacing w:val="-4"/>
          <w:sz w:val="16"/>
          <w:szCs w:val="16"/>
          <w:u w:val="single"/>
        </w:rPr>
      </w:pPr>
      <w:r w:rsidRPr="00581D66">
        <w:rPr>
          <w:b/>
          <w:spacing w:val="-4"/>
          <w:sz w:val="16"/>
          <w:szCs w:val="16"/>
          <w:u w:val="single"/>
        </w:rPr>
        <w:t>Проект рішення:</w:t>
      </w:r>
    </w:p>
    <w:p w:rsidR="000F2BD2" w:rsidRPr="00581D66" w:rsidRDefault="000F2BD2" w:rsidP="00CD6EBB">
      <w:pPr>
        <w:pStyle w:val="a7"/>
        <w:ind w:left="0"/>
        <w:jc w:val="both"/>
        <w:rPr>
          <w:spacing w:val="-4"/>
          <w:sz w:val="16"/>
          <w:szCs w:val="16"/>
        </w:rPr>
      </w:pPr>
      <w:r w:rsidRPr="00581D66">
        <w:rPr>
          <w:spacing w:val="-4"/>
          <w:sz w:val="16"/>
          <w:szCs w:val="16"/>
        </w:rPr>
        <w:t xml:space="preserve">Попередньо надати згоду на вчинення значних правочинів, які можуть вчинятися </w:t>
      </w:r>
      <w:proofErr w:type="spellStart"/>
      <w:r w:rsidRPr="00581D66">
        <w:rPr>
          <w:spacing w:val="-4"/>
          <w:sz w:val="16"/>
          <w:szCs w:val="16"/>
        </w:rPr>
        <w:t>ПрАТ</w:t>
      </w:r>
      <w:proofErr w:type="spellEnd"/>
      <w:r w:rsidRPr="00581D66">
        <w:rPr>
          <w:spacing w:val="-4"/>
          <w:sz w:val="16"/>
          <w:szCs w:val="16"/>
        </w:rPr>
        <w:t xml:space="preserve"> «</w:t>
      </w:r>
      <w:r w:rsidRPr="00581D66">
        <w:rPr>
          <w:color w:val="000000"/>
          <w:spacing w:val="-4"/>
          <w:sz w:val="16"/>
          <w:szCs w:val="16"/>
        </w:rPr>
        <w:t>БОРОДЯНСЬКЕ АТП 13237</w:t>
      </w:r>
      <w:r w:rsidRPr="00581D66">
        <w:rPr>
          <w:spacing w:val="-4"/>
          <w:sz w:val="16"/>
          <w:szCs w:val="16"/>
        </w:rPr>
        <w:t>» у ході поточної господарської діяльності протягом не більш як одного року з дати прийняття цього рішення, тобто до 26.04.20</w:t>
      </w:r>
      <w:r w:rsidR="00CD6EBB" w:rsidRPr="00581D66">
        <w:rPr>
          <w:spacing w:val="-4"/>
          <w:sz w:val="16"/>
          <w:szCs w:val="16"/>
        </w:rPr>
        <w:t>20</w:t>
      </w:r>
      <w:r w:rsidRPr="00581D66">
        <w:rPr>
          <w:spacing w:val="-4"/>
          <w:sz w:val="16"/>
          <w:szCs w:val="16"/>
        </w:rPr>
        <w:t xml:space="preserve"> року включно: </w:t>
      </w:r>
    </w:p>
    <w:p w:rsidR="000F2BD2" w:rsidRPr="00581D66" w:rsidRDefault="00CD6EBB" w:rsidP="00CD6EBB">
      <w:pPr>
        <w:pStyle w:val="a7"/>
        <w:ind w:left="0"/>
        <w:jc w:val="both"/>
        <w:rPr>
          <w:spacing w:val="-4"/>
          <w:sz w:val="16"/>
          <w:szCs w:val="16"/>
        </w:rPr>
      </w:pPr>
      <w:r w:rsidRPr="00581D66">
        <w:rPr>
          <w:spacing w:val="-4"/>
          <w:sz w:val="16"/>
          <w:szCs w:val="16"/>
        </w:rPr>
        <w:t xml:space="preserve">• </w:t>
      </w:r>
      <w:r w:rsidR="000F2BD2" w:rsidRPr="00581D66">
        <w:rPr>
          <w:spacing w:val="-4"/>
          <w:sz w:val="16"/>
          <w:szCs w:val="16"/>
        </w:rPr>
        <w:t>характер правочинів  –  кредитні угоди, договори застави/іпотеки, поставки, комісії, безвідсоткової поворотної фінансової допомоги, купівлі-продажу, оренди, поруки, зберігання, договори придбання сировини,автомобільної техніки та інших необхідних товарів, послуг, в тому числі але не виключно комунальних, а також будівельно-монтажних робіт тощо та відповідних додаткових угод до таких договорів.</w:t>
      </w:r>
    </w:p>
    <w:p w:rsidR="000F2BD2" w:rsidRPr="00581D66" w:rsidRDefault="00CD6EBB" w:rsidP="00CD6EBB">
      <w:pPr>
        <w:pStyle w:val="a7"/>
        <w:ind w:left="0"/>
        <w:jc w:val="both"/>
        <w:rPr>
          <w:spacing w:val="-4"/>
          <w:sz w:val="16"/>
          <w:szCs w:val="16"/>
        </w:rPr>
      </w:pPr>
      <w:r w:rsidRPr="00581D66">
        <w:rPr>
          <w:spacing w:val="-4"/>
          <w:sz w:val="16"/>
          <w:szCs w:val="16"/>
        </w:rPr>
        <w:t xml:space="preserve">• </w:t>
      </w:r>
      <w:r w:rsidR="000F2BD2" w:rsidRPr="00581D66">
        <w:rPr>
          <w:spacing w:val="-4"/>
          <w:sz w:val="16"/>
          <w:szCs w:val="16"/>
        </w:rPr>
        <w:t>гранична сукупна вартість правочинів -  50 000 000,00 (п’ятдесят мільйонів гривень 00 коп.).;</w:t>
      </w:r>
    </w:p>
    <w:p w:rsidR="000F2BD2" w:rsidRPr="00581D66" w:rsidRDefault="000F2BD2" w:rsidP="00CD6EBB">
      <w:pPr>
        <w:pStyle w:val="a7"/>
        <w:ind w:left="0"/>
        <w:jc w:val="both"/>
        <w:rPr>
          <w:spacing w:val="-4"/>
          <w:sz w:val="16"/>
          <w:szCs w:val="16"/>
        </w:rPr>
      </w:pPr>
      <w:r w:rsidRPr="00581D66">
        <w:rPr>
          <w:spacing w:val="-4"/>
          <w:sz w:val="16"/>
          <w:szCs w:val="16"/>
        </w:rPr>
        <w:t>Уповноважити Наглядову раду Товариства здійснити всі необхідні дії щодо узгодження всіх умов таких правочинів відповідно до прийнятого Загальними зборами рішення, а Генерального директора або іншу особу уповноважену на це довіреністю, виданою Генеральним директором, на укладання та підписання таких значних правочинів відповідно до узгоджених Наглядовою радою Товариства умов.</w:t>
      </w:r>
    </w:p>
    <w:p w:rsidR="000F2BD2" w:rsidRPr="00581D66" w:rsidRDefault="000F2BD2" w:rsidP="00CD6EBB">
      <w:pPr>
        <w:jc w:val="both"/>
        <w:rPr>
          <w:sz w:val="16"/>
          <w:szCs w:val="16"/>
        </w:rPr>
      </w:pPr>
    </w:p>
    <w:p w:rsidR="00654EF1" w:rsidRPr="00581D66" w:rsidRDefault="00654EF1" w:rsidP="00CD6EBB">
      <w:pPr>
        <w:tabs>
          <w:tab w:val="left" w:pos="4359"/>
        </w:tabs>
        <w:jc w:val="both"/>
        <w:rPr>
          <w:sz w:val="16"/>
          <w:szCs w:val="16"/>
        </w:rPr>
      </w:pPr>
      <w:r w:rsidRPr="00581D66">
        <w:rPr>
          <w:sz w:val="16"/>
          <w:szCs w:val="16"/>
        </w:rPr>
        <w:t>До дати проведення загальних зборів</w:t>
      </w:r>
      <w:r w:rsidR="004828CE" w:rsidRPr="00581D66">
        <w:rPr>
          <w:sz w:val="16"/>
          <w:szCs w:val="16"/>
        </w:rPr>
        <w:t>,</w:t>
      </w:r>
      <w:r w:rsidRPr="00581D66">
        <w:rPr>
          <w:sz w:val="16"/>
          <w:szCs w:val="16"/>
        </w:rPr>
        <w:t xml:space="preserve"> акціонери (учасники) можуть ознайомитись з документами, необхідними для прийняття рішення з питань порядку денного загальних зборів, за місцезнаходженням </w:t>
      </w:r>
      <w:r w:rsidR="004828CE" w:rsidRPr="00581D66">
        <w:rPr>
          <w:sz w:val="16"/>
          <w:szCs w:val="16"/>
        </w:rPr>
        <w:t xml:space="preserve">Товариства за адресою: </w:t>
      </w:r>
      <w:r w:rsidR="004828CE" w:rsidRPr="00581D66">
        <w:rPr>
          <w:color w:val="000000"/>
          <w:spacing w:val="-4"/>
          <w:sz w:val="16"/>
          <w:szCs w:val="16"/>
        </w:rPr>
        <w:t>Україна, 07800, Київська область, Бородянський район, смт. Бородянка</w:t>
      </w:r>
      <w:r w:rsidR="004828CE" w:rsidRPr="00581D66">
        <w:rPr>
          <w:color w:val="000000"/>
          <w:spacing w:val="-5"/>
          <w:sz w:val="16"/>
          <w:szCs w:val="16"/>
        </w:rPr>
        <w:t>, вулиця Вокзальна, 88</w:t>
      </w:r>
      <w:r w:rsidR="004828CE" w:rsidRPr="00581D66">
        <w:rPr>
          <w:sz w:val="16"/>
          <w:szCs w:val="16"/>
        </w:rPr>
        <w:t xml:space="preserve"> з понеділка по п’ятницю з </w:t>
      </w:r>
      <w:r w:rsidR="00DB20F1" w:rsidRPr="00581D66">
        <w:rPr>
          <w:sz w:val="16"/>
          <w:szCs w:val="16"/>
        </w:rPr>
        <w:t>12</w:t>
      </w:r>
      <w:r w:rsidR="004828CE" w:rsidRPr="00581D66">
        <w:rPr>
          <w:sz w:val="16"/>
          <w:szCs w:val="16"/>
        </w:rPr>
        <w:t xml:space="preserve">:00 до </w:t>
      </w:r>
      <w:r w:rsidR="00DB20F1" w:rsidRPr="00581D66">
        <w:rPr>
          <w:sz w:val="16"/>
          <w:szCs w:val="16"/>
        </w:rPr>
        <w:t>15</w:t>
      </w:r>
      <w:r w:rsidR="004828CE" w:rsidRPr="00581D66">
        <w:rPr>
          <w:sz w:val="16"/>
          <w:szCs w:val="16"/>
        </w:rPr>
        <w:t xml:space="preserve">:00, </w:t>
      </w:r>
      <w:r w:rsidR="004828CE" w:rsidRPr="00581D66">
        <w:rPr>
          <w:color w:val="000000"/>
          <w:sz w:val="16"/>
          <w:szCs w:val="16"/>
        </w:rPr>
        <w:t>в бухгалтерії Товариства</w:t>
      </w:r>
      <w:r w:rsidR="004828CE" w:rsidRPr="00581D66">
        <w:rPr>
          <w:sz w:val="16"/>
          <w:szCs w:val="16"/>
        </w:rPr>
        <w:t>,</w:t>
      </w:r>
      <w:r w:rsidR="004828CE" w:rsidRPr="00581D66">
        <w:rPr>
          <w:color w:val="000000"/>
          <w:sz w:val="16"/>
          <w:szCs w:val="16"/>
        </w:rPr>
        <w:t xml:space="preserve"> а в день проведення загальних зборів – також у місці їх проведення</w:t>
      </w:r>
      <w:r w:rsidR="004828CE" w:rsidRPr="00581D66">
        <w:rPr>
          <w:sz w:val="16"/>
          <w:szCs w:val="16"/>
        </w:rPr>
        <w:t xml:space="preserve">. Посадова особа товариства, відповідальна за ознайомлення акціонерів з документами – головний бухгалтер Шевченко Н. В., </w:t>
      </w:r>
      <w:r w:rsidR="004828CE" w:rsidRPr="00581D66">
        <w:rPr>
          <w:color w:val="000000"/>
          <w:sz w:val="16"/>
          <w:szCs w:val="16"/>
        </w:rPr>
        <w:t>т</w:t>
      </w:r>
      <w:r w:rsidR="004828CE" w:rsidRPr="00581D66">
        <w:rPr>
          <w:sz w:val="16"/>
          <w:szCs w:val="16"/>
        </w:rPr>
        <w:t>ел./факс: 8 (04477) 5-69-94.</w:t>
      </w:r>
    </w:p>
    <w:p w:rsidR="00CD6EBB" w:rsidRPr="00581D66" w:rsidRDefault="00CD6EBB" w:rsidP="00CD6EBB">
      <w:pPr>
        <w:tabs>
          <w:tab w:val="left" w:pos="4359"/>
        </w:tabs>
        <w:jc w:val="both"/>
        <w:rPr>
          <w:sz w:val="16"/>
          <w:szCs w:val="16"/>
        </w:rPr>
      </w:pPr>
    </w:p>
    <w:p w:rsidR="00654EF1" w:rsidRPr="00581D66" w:rsidRDefault="00654EF1" w:rsidP="00CD6EBB">
      <w:pPr>
        <w:jc w:val="center"/>
        <w:rPr>
          <w:b/>
          <w:sz w:val="16"/>
          <w:szCs w:val="16"/>
        </w:rPr>
      </w:pPr>
      <w:r w:rsidRPr="00581D66">
        <w:rPr>
          <w:b/>
          <w:sz w:val="16"/>
          <w:szCs w:val="16"/>
        </w:rPr>
        <w:t xml:space="preserve">Основні показники фінансово-господарської діяльності Товариства </w:t>
      </w:r>
      <w:r w:rsidR="0099043E" w:rsidRPr="00581D66">
        <w:rPr>
          <w:b/>
          <w:sz w:val="16"/>
          <w:szCs w:val="16"/>
        </w:rPr>
        <w:t>(тис. грн.)</w:t>
      </w:r>
      <w:r w:rsidRPr="00581D66">
        <w:rPr>
          <w:b/>
          <w:sz w:val="16"/>
          <w:szCs w:val="16"/>
        </w:rPr>
        <w:t xml:space="preserve"> </w:t>
      </w:r>
    </w:p>
    <w:tbl>
      <w:tblPr>
        <w:tblW w:w="4903" w:type="pct"/>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7706"/>
        <w:gridCol w:w="1305"/>
        <w:gridCol w:w="1311"/>
      </w:tblGrid>
      <w:tr w:rsidR="00AF69BE" w:rsidRPr="00581D66" w:rsidTr="00E74597">
        <w:tc>
          <w:tcPr>
            <w:tcW w:w="3733" w:type="pct"/>
            <w:vMerge w:val="restart"/>
          </w:tcPr>
          <w:p w:rsidR="00AF69BE" w:rsidRPr="00581D66" w:rsidRDefault="00AF69BE" w:rsidP="00CD6EBB">
            <w:pPr>
              <w:keepNext/>
              <w:jc w:val="center"/>
              <w:rPr>
                <w:snapToGrid w:val="0"/>
                <w:sz w:val="16"/>
                <w:szCs w:val="16"/>
                <w:lang w:eastAsia="ru-RU"/>
              </w:rPr>
            </w:pPr>
            <w:r w:rsidRPr="00581D66">
              <w:rPr>
                <w:snapToGrid w:val="0"/>
                <w:sz w:val="16"/>
                <w:szCs w:val="16"/>
                <w:lang w:eastAsia="ru-RU"/>
              </w:rPr>
              <w:t>Найменування показника</w:t>
            </w:r>
          </w:p>
        </w:tc>
        <w:tc>
          <w:tcPr>
            <w:tcW w:w="1267" w:type="pct"/>
            <w:gridSpan w:val="2"/>
            <w:vAlign w:val="center"/>
          </w:tcPr>
          <w:p w:rsidR="00AF69BE" w:rsidRPr="00581D66" w:rsidRDefault="00AF69BE" w:rsidP="00CD6EBB">
            <w:pPr>
              <w:keepNext/>
              <w:jc w:val="center"/>
              <w:rPr>
                <w:snapToGrid w:val="0"/>
                <w:sz w:val="16"/>
                <w:szCs w:val="16"/>
                <w:lang w:eastAsia="ru-RU"/>
              </w:rPr>
            </w:pPr>
            <w:r w:rsidRPr="00581D66">
              <w:rPr>
                <w:snapToGrid w:val="0"/>
                <w:sz w:val="16"/>
                <w:szCs w:val="16"/>
                <w:lang w:eastAsia="ru-RU"/>
              </w:rPr>
              <w:t>Період</w:t>
            </w:r>
          </w:p>
        </w:tc>
      </w:tr>
      <w:tr w:rsidR="00AF69BE" w:rsidRPr="00581D66" w:rsidTr="0099043E">
        <w:tc>
          <w:tcPr>
            <w:tcW w:w="3733" w:type="pct"/>
            <w:vMerge/>
          </w:tcPr>
          <w:p w:rsidR="00AF69BE" w:rsidRPr="00581D66" w:rsidRDefault="00AF69BE" w:rsidP="00CD6EBB">
            <w:pPr>
              <w:jc w:val="center"/>
              <w:rPr>
                <w:snapToGrid w:val="0"/>
                <w:sz w:val="16"/>
                <w:szCs w:val="16"/>
                <w:lang w:eastAsia="ru-RU"/>
              </w:rPr>
            </w:pPr>
          </w:p>
        </w:tc>
        <w:tc>
          <w:tcPr>
            <w:tcW w:w="632" w:type="pct"/>
            <w:vAlign w:val="center"/>
          </w:tcPr>
          <w:p w:rsidR="00AF69BE" w:rsidRPr="00581D66" w:rsidRDefault="004828CE" w:rsidP="00CD6EBB">
            <w:pPr>
              <w:jc w:val="center"/>
              <w:rPr>
                <w:snapToGrid w:val="0"/>
                <w:sz w:val="16"/>
                <w:szCs w:val="16"/>
                <w:lang w:eastAsia="ru-RU"/>
              </w:rPr>
            </w:pPr>
            <w:r w:rsidRPr="00581D66">
              <w:rPr>
                <w:snapToGrid w:val="0"/>
                <w:sz w:val="16"/>
                <w:szCs w:val="16"/>
                <w:lang w:eastAsia="ru-RU"/>
              </w:rPr>
              <w:t>З</w:t>
            </w:r>
            <w:r w:rsidR="00AF69BE" w:rsidRPr="00581D66">
              <w:rPr>
                <w:snapToGrid w:val="0"/>
                <w:sz w:val="16"/>
                <w:szCs w:val="16"/>
                <w:lang w:eastAsia="ru-RU"/>
              </w:rPr>
              <w:t>вітний</w:t>
            </w:r>
            <w:r w:rsidR="002B3564" w:rsidRPr="00581D66">
              <w:rPr>
                <w:snapToGrid w:val="0"/>
                <w:sz w:val="16"/>
                <w:szCs w:val="16"/>
                <w:lang w:eastAsia="ru-RU"/>
              </w:rPr>
              <w:t xml:space="preserve"> </w:t>
            </w:r>
          </w:p>
        </w:tc>
        <w:tc>
          <w:tcPr>
            <w:tcW w:w="635" w:type="pct"/>
            <w:vAlign w:val="center"/>
          </w:tcPr>
          <w:p w:rsidR="00AF69BE" w:rsidRPr="00581D66" w:rsidRDefault="004828CE" w:rsidP="00CD6EBB">
            <w:pPr>
              <w:jc w:val="center"/>
              <w:rPr>
                <w:snapToGrid w:val="0"/>
                <w:sz w:val="16"/>
                <w:szCs w:val="16"/>
                <w:lang w:eastAsia="ru-RU"/>
              </w:rPr>
            </w:pPr>
            <w:r w:rsidRPr="00581D66">
              <w:rPr>
                <w:snapToGrid w:val="0"/>
                <w:sz w:val="16"/>
                <w:szCs w:val="16"/>
                <w:lang w:eastAsia="ru-RU"/>
              </w:rPr>
              <w:t>П</w:t>
            </w:r>
            <w:r w:rsidR="00AF69BE" w:rsidRPr="00581D66">
              <w:rPr>
                <w:snapToGrid w:val="0"/>
                <w:sz w:val="16"/>
                <w:szCs w:val="16"/>
                <w:lang w:eastAsia="ru-RU"/>
              </w:rPr>
              <w:t>опередній</w:t>
            </w:r>
            <w:r w:rsidR="002B3564" w:rsidRPr="00581D66">
              <w:rPr>
                <w:snapToGrid w:val="0"/>
                <w:sz w:val="16"/>
                <w:szCs w:val="16"/>
                <w:lang w:eastAsia="ru-RU"/>
              </w:rPr>
              <w:t xml:space="preserve"> </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Усього активів</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17050</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16476</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Основні засоби (за залишковою вартістю)</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9519</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10045</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Запаси</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0</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0</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Сумарна дебіторська заборгованість</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7532</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6431</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Гроші та їх еквіваленти</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81</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10</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 xml:space="preserve">Нерозподілений прибуток (непокритий збиток) </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-674</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-936</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Власний капітал</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1195</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1195</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Зареєстрований статутний капітал</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1195</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1195</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Довгострокові зобов'язання і забезпечення</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0</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0</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Поточні зобов'язання і забезпечення</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15404</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15092</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Чистий фінансовий результат: прибуток (збиток)</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262</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182</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Середньорічна кількість простих акцій (шт.)</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4778730</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4778730</w:t>
            </w:r>
          </w:p>
        </w:tc>
      </w:tr>
      <w:tr w:rsidR="000F2BD2" w:rsidRPr="00581D66" w:rsidTr="0099043E">
        <w:tc>
          <w:tcPr>
            <w:tcW w:w="3733" w:type="pct"/>
          </w:tcPr>
          <w:p w:rsidR="000F2BD2" w:rsidRPr="00581D66" w:rsidRDefault="000F2BD2" w:rsidP="00CD6EBB">
            <w:pPr>
              <w:rPr>
                <w:snapToGrid w:val="0"/>
                <w:sz w:val="16"/>
                <w:szCs w:val="16"/>
                <w:lang w:eastAsia="ru-RU"/>
              </w:rPr>
            </w:pPr>
            <w:r w:rsidRPr="00581D66">
              <w:rPr>
                <w:snapToGrid w:val="0"/>
                <w:sz w:val="16"/>
                <w:szCs w:val="16"/>
                <w:lang w:eastAsia="ru-RU"/>
              </w:rPr>
              <w:t>Чистий прибуток (збиток) на одну просту акцію (грн.)</w:t>
            </w:r>
          </w:p>
        </w:tc>
        <w:tc>
          <w:tcPr>
            <w:tcW w:w="632" w:type="pct"/>
            <w:vAlign w:val="center"/>
          </w:tcPr>
          <w:p w:rsidR="000F2BD2" w:rsidRPr="00581D66" w:rsidRDefault="000F2BD2" w:rsidP="00CD6EBB">
            <w:pPr>
              <w:spacing w:line="276" w:lineRule="auto"/>
              <w:jc w:val="center"/>
              <w:rPr>
                <w:snapToGrid w:val="0"/>
                <w:sz w:val="16"/>
                <w:szCs w:val="16"/>
                <w:lang w:eastAsia="ru-RU"/>
              </w:rPr>
            </w:pPr>
            <w:r w:rsidRPr="00581D66">
              <w:rPr>
                <w:snapToGrid w:val="0"/>
                <w:sz w:val="16"/>
                <w:szCs w:val="16"/>
                <w:lang w:eastAsia="ru-RU"/>
              </w:rPr>
              <w:t>0.05483</w:t>
            </w:r>
          </w:p>
        </w:tc>
        <w:tc>
          <w:tcPr>
            <w:tcW w:w="635" w:type="pct"/>
            <w:vAlign w:val="center"/>
          </w:tcPr>
          <w:p w:rsidR="000F2BD2" w:rsidRPr="00581D66" w:rsidRDefault="000F2BD2" w:rsidP="00CD6EBB">
            <w:pPr>
              <w:jc w:val="center"/>
              <w:rPr>
                <w:snapToGrid w:val="0"/>
                <w:sz w:val="16"/>
                <w:szCs w:val="16"/>
                <w:lang w:eastAsia="ru-RU"/>
              </w:rPr>
            </w:pPr>
            <w:r w:rsidRPr="00581D66">
              <w:rPr>
                <w:snapToGrid w:val="0"/>
                <w:sz w:val="16"/>
                <w:szCs w:val="16"/>
                <w:lang w:eastAsia="ru-RU"/>
              </w:rPr>
              <w:t>0,038</w:t>
            </w:r>
          </w:p>
        </w:tc>
      </w:tr>
    </w:tbl>
    <w:p w:rsidR="00CD6EBB" w:rsidRPr="00581D66" w:rsidRDefault="00CD6EBB"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 xml:space="preserve">Акціонер має право в порядку, встановленому законодавством, внести пропозиції щодо питань, включених до проекту порядку денного загальних зборів не пізніше ніж за 20 днів до дати проведення загальних зборів. Пропозиції щодо включення нових питань до проекту порядку денного повинні містити відповідні </w:t>
      </w:r>
      <w:r w:rsidRPr="00581D66">
        <w:rPr>
          <w:spacing w:val="-4"/>
          <w:sz w:val="16"/>
          <w:szCs w:val="16"/>
        </w:rPr>
        <w:lastRenderedPageBreak/>
        <w:t>проекти рішень з цих питань. Пропозиція до проекту порядку денного загальних зборів акціонерів подається в письмовій формі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Акціонер має право до дати проведення загальних зборів надати Наглядовій раді письмове запитання щодо питань, включених до проекту порядку денного загальних зборів та порядку денного загальних зборів. На письмові запитання акціонерів щодо порядку денного зборів Товариством будуть надаватися письмові відповіді. Якщо необхідна інформація щодо акціонера відсутня в переліку акціонерів Товариства, які мають бути повідомлені про проведення загальних зборів, то для підтвердження своїх прав він має надати Наглядовій раді копію виписки про стан рахунку в цінних паперах, засвідчену згідно з чинним законодавством.</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Для реєстрації акціонеру необхідно надати реєстраційній комісії документ, що посвідчує особу (паспорт, а у випадку пред'явлення паспорта громадянина України з безконтактним електронним носієм додатково пред'являється витяг з Єдиного державного демографічного реєстру щодо реєстрації місця проживання); неповнолітнім акціонером, у випадку його одруження до досягнення вісімнадцятирічного віку, додатково пред'являється свідоцтво про одруження або рішення суду про надання особі повної цивільної дієздатності.  Для підтвердження права на участь у Зборах акціонеру, який є неповнолітнім, додатково необхідно надати документи або їх копії, засвідчені нотаріально або іншим чином, передбаченому законодавством України (залишаються у реєстраційної комісії) копію свідоцтва про одруження, рішення суду про надання особі повної цивільної дієздатності або письмову згоду (у формі заяви про згоду на участь у загальних зборах акціонерів  неповнолітніх) осіб, які згідно з чинним законодавством представляють інтереси неповнолітніх до досягнення повноліття або одруження</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Для представників акціонерів, крім того надаються – документи, що підтверджують право участі у Зборах від імені акціонера:</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документ, що підтверджує право на представництво малолітньої особи-акціонера;</w:t>
      </w:r>
    </w:p>
    <w:p w:rsidR="00E42538" w:rsidRPr="00581D66" w:rsidRDefault="00E42538" w:rsidP="00CD6EBB">
      <w:pPr>
        <w:shd w:val="clear" w:color="auto" w:fill="FFFFFF"/>
        <w:jc w:val="both"/>
        <w:rPr>
          <w:spacing w:val="-4"/>
          <w:sz w:val="16"/>
          <w:szCs w:val="16"/>
        </w:rPr>
      </w:pPr>
      <w:r w:rsidRPr="00581D66">
        <w:rPr>
          <w:spacing w:val="-4"/>
          <w:sz w:val="16"/>
          <w:szCs w:val="16"/>
        </w:rPr>
        <w:t>довіреність від акціонера;</w:t>
      </w:r>
    </w:p>
    <w:p w:rsidR="00E42538" w:rsidRPr="00581D66" w:rsidRDefault="00E42538" w:rsidP="00CD6EBB">
      <w:pPr>
        <w:shd w:val="clear" w:color="auto" w:fill="FFFFFF"/>
        <w:jc w:val="both"/>
        <w:rPr>
          <w:spacing w:val="-4"/>
          <w:sz w:val="16"/>
          <w:szCs w:val="16"/>
        </w:rPr>
      </w:pPr>
      <w:r w:rsidRPr="00581D66">
        <w:rPr>
          <w:spacing w:val="-4"/>
          <w:sz w:val="16"/>
          <w:szCs w:val="16"/>
        </w:rPr>
        <w:t>договір про управління або договір доручення та довіреність від юридичної особи-представника акціонера;</w:t>
      </w:r>
    </w:p>
    <w:p w:rsidR="00E42538" w:rsidRPr="00581D66" w:rsidRDefault="00E42538" w:rsidP="00CD6EBB">
      <w:pPr>
        <w:shd w:val="clear" w:color="auto" w:fill="FFFFFF"/>
        <w:jc w:val="both"/>
        <w:rPr>
          <w:spacing w:val="-4"/>
          <w:sz w:val="16"/>
          <w:szCs w:val="16"/>
        </w:rPr>
      </w:pPr>
      <w:r w:rsidRPr="00581D66">
        <w:rPr>
          <w:spacing w:val="-4"/>
          <w:sz w:val="16"/>
          <w:szCs w:val="16"/>
        </w:rPr>
        <w:t>для керівника акціонера-юридичної особи (представника акціонера-юридичної особи за договором) – витяг з ЄДР юридичних осіб, фізичних осіб-підприємців та громадських формувань станом на дату проведення Зборів, витяг з установчого документу юридичної особи, що містять інформацію про посадових осіб, які мають право діяти від її імені без довіреності та, у випадку, якщо згідно з установчим документом юридичної особи такі повноваження не належать до компетенції керівника, рішення уповноваженого органу управління юридичної особи щодо делегування керівнику повноважень щодо участі та голосування на Зборах.</w:t>
      </w:r>
    </w:p>
    <w:p w:rsidR="00E42538" w:rsidRPr="00581D66" w:rsidRDefault="00E42538" w:rsidP="00CD6EBB">
      <w:pPr>
        <w:shd w:val="clear" w:color="auto" w:fill="FFFFFF"/>
        <w:jc w:val="both"/>
        <w:rPr>
          <w:spacing w:val="-4"/>
          <w:sz w:val="16"/>
          <w:szCs w:val="16"/>
        </w:rPr>
      </w:pPr>
      <w:r w:rsidRPr="00581D66">
        <w:rPr>
          <w:spacing w:val="-4"/>
          <w:sz w:val="16"/>
          <w:szCs w:val="16"/>
        </w:rPr>
        <w:t>Дані документа, що посвідчує особу акціонера, мають збігатись з даними, зазначеними в переліку акціонерів, які мають право на участь у зборах.</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У загальних зборах можуть брати участь особи, включені до переліку акціонерів, які мають право на таку участь, або їх представники. Акціонер реєструється з зазначенням представника (за наявності) і кількості голосів.</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Обмеження права акціонера на участь у загальних зборах та права участі у голосуванні на загальних зборах встановлюється законом.</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Акціонер має право призначити свого представника шляхом видачі довіреності на право участі та голосування на загальних зборах. У цій довіреності мають бути чітко визначені юридичні дії, які має право вчинити представник, а також: повне найменування і код за ЄДРПОУ Товариства; дата і час проведення загальних зборів акціонерів Товариства; місце і дата її видачі; кількість акцій, голосувати якими доручається представнику, або зазначення фрази "всіма належними мені акціями". Також як для акціонера, так і для представника в цій довіреності необхідно зазначити:</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прізвище, ім'я, по-батькові (за наявності) (для фізичної особи);</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реквізити документа, що посвідчує особу та його реєстраційний номер облікової картки платника податків з Державного реєстру фізичних осіб - платників податків (за наявності) (для фізичної особи);</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місце проживання, реєстрації (за наявності) з зазначенням країни (для фізичної особи);</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повне найменування акціонера, його код за ЄДРПОУ (для резидентів) або ідентифікаційний код з торговельного, банківського або судового реєстру країни, де офіційно зареєстрований іноземний суб'єкт господарської діяльності, або реєстраційного посвідчення місцевого органу державної влади іноземної держави про реєстрацію юридичної особи, або іншого документа, що свідчить про реєстрацію юридичної особи відповідно до законодавства країни її місцезнаходження (для нерезидентів) (для юридичної особи);</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місцезнаходження з зазначенням країни (для юридичної особи).</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Довіреність на право участі та голосування на загальних зборах може містити завдання щодо голосування, тобто перелік питань порядку денного загальних зборів із зазначенням того, як і за яке («за», «проти» якого чи «утримався») рішення потрібно проголосувати. 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ЗЗА на свій розсуд. Підпис особи на довіреності засвідчується згідно з чинним законодавством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Акціонер має право видати довіреність на право участі та голосування на загальних зборах декільком своїм представникам.</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До закінчення строку, відведеного на реєстрацію учасників зборів, акціонер має право у будь-який момент скасувати довіреність, замінити свого представника або взяти участь у загальних зборах особисто замість свого представника, повідомивши про це реєстраційну комісію акціонерного товариства. У разі, якщо для участі в загальних зборах з'явилось декілька представників, реєструється той представник, довіреність якому видана пізніше.</w:t>
      </w:r>
    </w:p>
    <w:p w:rsidR="00E42538" w:rsidRPr="00581D66" w:rsidRDefault="00E42538" w:rsidP="00CD6EBB">
      <w:pPr>
        <w:shd w:val="clear" w:color="auto" w:fill="FFFFFF"/>
        <w:jc w:val="both"/>
        <w:rPr>
          <w:spacing w:val="-4"/>
          <w:sz w:val="16"/>
          <w:szCs w:val="16"/>
        </w:rPr>
      </w:pPr>
    </w:p>
    <w:p w:rsidR="00E42538" w:rsidRPr="00581D66" w:rsidRDefault="00E42538" w:rsidP="00CD6EBB">
      <w:pPr>
        <w:shd w:val="clear" w:color="auto" w:fill="FFFFFF"/>
        <w:jc w:val="both"/>
        <w:rPr>
          <w:spacing w:val="-4"/>
          <w:sz w:val="16"/>
          <w:szCs w:val="16"/>
        </w:rPr>
      </w:pPr>
      <w:r w:rsidRPr="00581D66">
        <w:rPr>
          <w:spacing w:val="-4"/>
          <w:sz w:val="16"/>
          <w:szCs w:val="16"/>
        </w:rPr>
        <w:t>Голосування на загальних зборах з питань порядку денного проводиться виключно з використанням бюлетенів для голосування, крім питань зміни черговості розгляду питань порядку денного та оголошення перерви у ході загальних зборів до наступного дня. Одна голосуюча акція надає акціонеру один голос для вирішення кожного з питань, винесених на голосування на загальних зборах акціонерного товариства.</w:t>
      </w:r>
    </w:p>
    <w:p w:rsidR="00E42538" w:rsidRPr="00581D66" w:rsidRDefault="00E42538" w:rsidP="00CD6EBB">
      <w:pPr>
        <w:tabs>
          <w:tab w:val="left" w:pos="4359"/>
        </w:tabs>
        <w:jc w:val="both"/>
        <w:rPr>
          <w:spacing w:val="-4"/>
          <w:sz w:val="16"/>
          <w:szCs w:val="16"/>
        </w:rPr>
      </w:pPr>
    </w:p>
    <w:p w:rsidR="0075360C" w:rsidRPr="00581D66" w:rsidRDefault="00E42538" w:rsidP="00CD6EBB">
      <w:pPr>
        <w:shd w:val="clear" w:color="auto" w:fill="FFFFFF"/>
        <w:jc w:val="right"/>
        <w:rPr>
          <w:b/>
          <w:spacing w:val="-4"/>
          <w:sz w:val="16"/>
          <w:szCs w:val="16"/>
        </w:rPr>
      </w:pPr>
      <w:r w:rsidRPr="00581D66">
        <w:rPr>
          <w:b/>
          <w:spacing w:val="-4"/>
          <w:sz w:val="16"/>
          <w:szCs w:val="16"/>
        </w:rPr>
        <w:t>Наглядова рада</w:t>
      </w:r>
    </w:p>
    <w:p w:rsidR="000F2BD2" w:rsidRPr="00581D66" w:rsidRDefault="000F2BD2" w:rsidP="00CD6EBB">
      <w:pPr>
        <w:shd w:val="clear" w:color="auto" w:fill="FFFFFF"/>
        <w:jc w:val="right"/>
        <w:rPr>
          <w:sz w:val="16"/>
          <w:szCs w:val="16"/>
        </w:rPr>
      </w:pPr>
      <w:proofErr w:type="spellStart"/>
      <w:r w:rsidRPr="00581D66">
        <w:rPr>
          <w:b/>
          <w:spacing w:val="-4"/>
          <w:sz w:val="16"/>
          <w:szCs w:val="16"/>
        </w:rPr>
        <w:t>ПРАТ</w:t>
      </w:r>
      <w:proofErr w:type="spellEnd"/>
      <w:r w:rsidRPr="00581D66">
        <w:rPr>
          <w:b/>
          <w:spacing w:val="-4"/>
          <w:sz w:val="16"/>
          <w:szCs w:val="16"/>
        </w:rPr>
        <w:t xml:space="preserve"> «БОРОДЯНСЬКЕ АТП 13237»</w:t>
      </w:r>
    </w:p>
    <w:sectPr w:rsidR="000F2BD2" w:rsidRPr="00581D66" w:rsidSect="000F2BD2">
      <w:pgSz w:w="11906" w:h="16838"/>
      <w:pgMar w:top="284" w:right="720" w:bottom="142" w:left="720" w:header="708" w:footer="708"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A56"/>
    <w:multiLevelType w:val="hybridMultilevel"/>
    <w:tmpl w:val="EA3A6FAC"/>
    <w:lvl w:ilvl="0" w:tplc="E6446FE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2476E5"/>
    <w:multiLevelType w:val="hybridMultilevel"/>
    <w:tmpl w:val="9E6639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F762FE"/>
    <w:multiLevelType w:val="hybridMultilevel"/>
    <w:tmpl w:val="518CC55C"/>
    <w:lvl w:ilvl="0" w:tplc="E6446FE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AB2A94"/>
    <w:multiLevelType w:val="hybridMultilevel"/>
    <w:tmpl w:val="506E0C28"/>
    <w:lvl w:ilvl="0" w:tplc="E6446FE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3A477874"/>
    <w:multiLevelType w:val="hybridMultilevel"/>
    <w:tmpl w:val="EA3A6FAC"/>
    <w:lvl w:ilvl="0" w:tplc="E6446FE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2368FA"/>
    <w:multiLevelType w:val="hybridMultilevel"/>
    <w:tmpl w:val="0360D7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4320"/>
        </w:tabs>
        <w:ind w:left="4320" w:hanging="360"/>
      </w:p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6">
    <w:nsid w:val="5126650A"/>
    <w:multiLevelType w:val="hybridMultilevel"/>
    <w:tmpl w:val="E96801CE"/>
    <w:lvl w:ilvl="0" w:tplc="E6446FE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6246709B"/>
    <w:multiLevelType w:val="hybridMultilevel"/>
    <w:tmpl w:val="EA3A6FAC"/>
    <w:lvl w:ilvl="0" w:tplc="E6446FE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1E2166"/>
    <w:multiLevelType w:val="hybridMultilevel"/>
    <w:tmpl w:val="01045F78"/>
    <w:lvl w:ilvl="0" w:tplc="991C3712">
      <w:start w:val="1"/>
      <w:numFmt w:val="decimal"/>
      <w:suff w:val="space"/>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B75FB1"/>
    <w:multiLevelType w:val="hybridMultilevel"/>
    <w:tmpl w:val="CDD4E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65025C"/>
    <w:multiLevelType w:val="hybridMultilevel"/>
    <w:tmpl w:val="518CC55C"/>
    <w:lvl w:ilvl="0" w:tplc="E6446FE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4"/>
  </w:num>
  <w:num w:numId="4">
    <w:abstractNumId w:val="2"/>
  </w:num>
  <w:num w:numId="5">
    <w:abstractNumId w:val="0"/>
  </w:num>
  <w:num w:numId="6">
    <w:abstractNumId w:val="7"/>
  </w:num>
  <w:num w:numId="7">
    <w:abstractNumId w:val="3"/>
  </w:num>
  <w:num w:numId="8">
    <w:abstractNumId w:val="6"/>
  </w:num>
  <w:num w:numId="9">
    <w:abstractNumId w:val="10"/>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stylePaneFormatFilter w:val="3F01"/>
  <w:defaultTabStop w:val="720"/>
  <w:hyphenationZone w:val="425"/>
  <w:drawingGridHorizontalSpacing w:val="120"/>
  <w:drawingGridVerticalSpacing w:val="136"/>
  <w:displayHorizontalDrawingGridEvery w:val="0"/>
  <w:displayVerticalDrawingGridEvery w:val="2"/>
  <w:noPunctuationKerning/>
  <w:characterSpacingControl w:val="doNotCompress"/>
  <w:compat/>
  <w:rsids>
    <w:rsidRoot w:val="00AF69BE"/>
    <w:rsid w:val="0000029D"/>
    <w:rsid w:val="000025AA"/>
    <w:rsid w:val="0000639B"/>
    <w:rsid w:val="00007EB9"/>
    <w:rsid w:val="000115A4"/>
    <w:rsid w:val="000120EB"/>
    <w:rsid w:val="00013919"/>
    <w:rsid w:val="00016481"/>
    <w:rsid w:val="00023F03"/>
    <w:rsid w:val="00024297"/>
    <w:rsid w:val="00024A88"/>
    <w:rsid w:val="00031742"/>
    <w:rsid w:val="0003188A"/>
    <w:rsid w:val="00036611"/>
    <w:rsid w:val="00036F1E"/>
    <w:rsid w:val="00040C08"/>
    <w:rsid w:val="00040C39"/>
    <w:rsid w:val="00041C20"/>
    <w:rsid w:val="0004210A"/>
    <w:rsid w:val="00043F3D"/>
    <w:rsid w:val="0004507D"/>
    <w:rsid w:val="00050FB2"/>
    <w:rsid w:val="00051748"/>
    <w:rsid w:val="00051E56"/>
    <w:rsid w:val="00055C89"/>
    <w:rsid w:val="00056535"/>
    <w:rsid w:val="000624A1"/>
    <w:rsid w:val="00062D8D"/>
    <w:rsid w:val="00066CF5"/>
    <w:rsid w:val="00076F88"/>
    <w:rsid w:val="00077491"/>
    <w:rsid w:val="00080D24"/>
    <w:rsid w:val="00083657"/>
    <w:rsid w:val="00084AAE"/>
    <w:rsid w:val="000852CE"/>
    <w:rsid w:val="000870AD"/>
    <w:rsid w:val="00087DB3"/>
    <w:rsid w:val="00093E55"/>
    <w:rsid w:val="000960AD"/>
    <w:rsid w:val="000A0BE0"/>
    <w:rsid w:val="000A1A4F"/>
    <w:rsid w:val="000B04FE"/>
    <w:rsid w:val="000B1EF6"/>
    <w:rsid w:val="000B2163"/>
    <w:rsid w:val="000B7168"/>
    <w:rsid w:val="000B7F7F"/>
    <w:rsid w:val="000C17AC"/>
    <w:rsid w:val="000C2649"/>
    <w:rsid w:val="000C2E19"/>
    <w:rsid w:val="000C396C"/>
    <w:rsid w:val="000C5736"/>
    <w:rsid w:val="000C58F4"/>
    <w:rsid w:val="000C7502"/>
    <w:rsid w:val="000C766D"/>
    <w:rsid w:val="000D05A0"/>
    <w:rsid w:val="000D1405"/>
    <w:rsid w:val="000D5737"/>
    <w:rsid w:val="000E1430"/>
    <w:rsid w:val="000E460F"/>
    <w:rsid w:val="000E4E44"/>
    <w:rsid w:val="000E619C"/>
    <w:rsid w:val="000F0479"/>
    <w:rsid w:val="000F048D"/>
    <w:rsid w:val="000F1FEC"/>
    <w:rsid w:val="000F2BD2"/>
    <w:rsid w:val="000F5F7C"/>
    <w:rsid w:val="0010164D"/>
    <w:rsid w:val="0010248A"/>
    <w:rsid w:val="001043E5"/>
    <w:rsid w:val="001051D6"/>
    <w:rsid w:val="001054D4"/>
    <w:rsid w:val="001169A7"/>
    <w:rsid w:val="0012046C"/>
    <w:rsid w:val="00131071"/>
    <w:rsid w:val="00131602"/>
    <w:rsid w:val="00135636"/>
    <w:rsid w:val="00135B4E"/>
    <w:rsid w:val="00136748"/>
    <w:rsid w:val="00137898"/>
    <w:rsid w:val="00137D48"/>
    <w:rsid w:val="00142DE7"/>
    <w:rsid w:val="00146888"/>
    <w:rsid w:val="00151E10"/>
    <w:rsid w:val="00152417"/>
    <w:rsid w:val="00153ADD"/>
    <w:rsid w:val="00154C2F"/>
    <w:rsid w:val="00157645"/>
    <w:rsid w:val="00166E81"/>
    <w:rsid w:val="001714C5"/>
    <w:rsid w:val="00171827"/>
    <w:rsid w:val="00172EE7"/>
    <w:rsid w:val="00177A26"/>
    <w:rsid w:val="00180BA5"/>
    <w:rsid w:val="00183A08"/>
    <w:rsid w:val="00191E70"/>
    <w:rsid w:val="0019395F"/>
    <w:rsid w:val="00193EC8"/>
    <w:rsid w:val="00197084"/>
    <w:rsid w:val="001973F4"/>
    <w:rsid w:val="001A018D"/>
    <w:rsid w:val="001A2A6A"/>
    <w:rsid w:val="001A3160"/>
    <w:rsid w:val="001A747F"/>
    <w:rsid w:val="001B0292"/>
    <w:rsid w:val="001B2862"/>
    <w:rsid w:val="001B5ED4"/>
    <w:rsid w:val="001B67AC"/>
    <w:rsid w:val="001C105B"/>
    <w:rsid w:val="001C22A9"/>
    <w:rsid w:val="001C3321"/>
    <w:rsid w:val="001C43E3"/>
    <w:rsid w:val="001C7913"/>
    <w:rsid w:val="001D06ED"/>
    <w:rsid w:val="001D0FD1"/>
    <w:rsid w:val="001D17B5"/>
    <w:rsid w:val="001D5F7F"/>
    <w:rsid w:val="001D7E2E"/>
    <w:rsid w:val="001E3E0E"/>
    <w:rsid w:val="001F035A"/>
    <w:rsid w:val="001F1143"/>
    <w:rsid w:val="001F2339"/>
    <w:rsid w:val="001F72A5"/>
    <w:rsid w:val="002012E7"/>
    <w:rsid w:val="002047CB"/>
    <w:rsid w:val="00204B74"/>
    <w:rsid w:val="00206800"/>
    <w:rsid w:val="00206E51"/>
    <w:rsid w:val="0020712A"/>
    <w:rsid w:val="0021507A"/>
    <w:rsid w:val="00215C6B"/>
    <w:rsid w:val="00215F87"/>
    <w:rsid w:val="002206EA"/>
    <w:rsid w:val="00223A58"/>
    <w:rsid w:val="00223E9D"/>
    <w:rsid w:val="0023158D"/>
    <w:rsid w:val="00234162"/>
    <w:rsid w:val="00234ADE"/>
    <w:rsid w:val="002362FA"/>
    <w:rsid w:val="00241309"/>
    <w:rsid w:val="00244BB8"/>
    <w:rsid w:val="00247D32"/>
    <w:rsid w:val="00250674"/>
    <w:rsid w:val="00250998"/>
    <w:rsid w:val="00252D50"/>
    <w:rsid w:val="002543A2"/>
    <w:rsid w:val="00256EF3"/>
    <w:rsid w:val="0026475D"/>
    <w:rsid w:val="002702DF"/>
    <w:rsid w:val="00272E0E"/>
    <w:rsid w:val="00273364"/>
    <w:rsid w:val="00274720"/>
    <w:rsid w:val="002823CC"/>
    <w:rsid w:val="0028678D"/>
    <w:rsid w:val="002874FF"/>
    <w:rsid w:val="00290DA2"/>
    <w:rsid w:val="0029262D"/>
    <w:rsid w:val="00292FBD"/>
    <w:rsid w:val="00297584"/>
    <w:rsid w:val="002A33DA"/>
    <w:rsid w:val="002A351E"/>
    <w:rsid w:val="002A539B"/>
    <w:rsid w:val="002A6F33"/>
    <w:rsid w:val="002B2B66"/>
    <w:rsid w:val="002B2F4C"/>
    <w:rsid w:val="002B3564"/>
    <w:rsid w:val="002B4991"/>
    <w:rsid w:val="002B4B0D"/>
    <w:rsid w:val="002B4C42"/>
    <w:rsid w:val="002B6379"/>
    <w:rsid w:val="002B676E"/>
    <w:rsid w:val="002C0248"/>
    <w:rsid w:val="002C0868"/>
    <w:rsid w:val="002C29AE"/>
    <w:rsid w:val="002C562E"/>
    <w:rsid w:val="002D090D"/>
    <w:rsid w:val="002D2BD7"/>
    <w:rsid w:val="002D2C46"/>
    <w:rsid w:val="002D3590"/>
    <w:rsid w:val="002D52EF"/>
    <w:rsid w:val="002E01A9"/>
    <w:rsid w:val="002E071A"/>
    <w:rsid w:val="002E311B"/>
    <w:rsid w:val="002E5B3E"/>
    <w:rsid w:val="002E6B71"/>
    <w:rsid w:val="002E75B8"/>
    <w:rsid w:val="0030675F"/>
    <w:rsid w:val="00312145"/>
    <w:rsid w:val="00312E02"/>
    <w:rsid w:val="00313389"/>
    <w:rsid w:val="0031479D"/>
    <w:rsid w:val="003157F3"/>
    <w:rsid w:val="00324F1C"/>
    <w:rsid w:val="00331699"/>
    <w:rsid w:val="00335261"/>
    <w:rsid w:val="00335CB3"/>
    <w:rsid w:val="0033676B"/>
    <w:rsid w:val="00337D96"/>
    <w:rsid w:val="003427D8"/>
    <w:rsid w:val="00343237"/>
    <w:rsid w:val="00344160"/>
    <w:rsid w:val="00355017"/>
    <w:rsid w:val="00357412"/>
    <w:rsid w:val="00360922"/>
    <w:rsid w:val="00362611"/>
    <w:rsid w:val="0036568A"/>
    <w:rsid w:val="00370B57"/>
    <w:rsid w:val="00371ADB"/>
    <w:rsid w:val="003722AF"/>
    <w:rsid w:val="003724A4"/>
    <w:rsid w:val="00373693"/>
    <w:rsid w:val="00373D08"/>
    <w:rsid w:val="00374424"/>
    <w:rsid w:val="00387789"/>
    <w:rsid w:val="00396904"/>
    <w:rsid w:val="003A0734"/>
    <w:rsid w:val="003A23CD"/>
    <w:rsid w:val="003A2494"/>
    <w:rsid w:val="003A2C53"/>
    <w:rsid w:val="003A3394"/>
    <w:rsid w:val="003A3E36"/>
    <w:rsid w:val="003B319F"/>
    <w:rsid w:val="003C3081"/>
    <w:rsid w:val="003C33CC"/>
    <w:rsid w:val="003C3DDF"/>
    <w:rsid w:val="003D0F20"/>
    <w:rsid w:val="003D315E"/>
    <w:rsid w:val="003D7871"/>
    <w:rsid w:val="003E2059"/>
    <w:rsid w:val="003E39C5"/>
    <w:rsid w:val="003E6BD4"/>
    <w:rsid w:val="0040708A"/>
    <w:rsid w:val="00412AB0"/>
    <w:rsid w:val="00413D2C"/>
    <w:rsid w:val="0041651E"/>
    <w:rsid w:val="004201D7"/>
    <w:rsid w:val="00420423"/>
    <w:rsid w:val="00421E67"/>
    <w:rsid w:val="004221FC"/>
    <w:rsid w:val="004225F7"/>
    <w:rsid w:val="0042408C"/>
    <w:rsid w:val="00431E77"/>
    <w:rsid w:val="004413A9"/>
    <w:rsid w:val="00445602"/>
    <w:rsid w:val="00445C3B"/>
    <w:rsid w:val="0044766E"/>
    <w:rsid w:val="00452CAF"/>
    <w:rsid w:val="00457112"/>
    <w:rsid w:val="004612F2"/>
    <w:rsid w:val="00461891"/>
    <w:rsid w:val="00461B39"/>
    <w:rsid w:val="004628E9"/>
    <w:rsid w:val="004635CB"/>
    <w:rsid w:val="00474AD9"/>
    <w:rsid w:val="00480AD1"/>
    <w:rsid w:val="00481233"/>
    <w:rsid w:val="0048198E"/>
    <w:rsid w:val="004827C7"/>
    <w:rsid w:val="004828CE"/>
    <w:rsid w:val="0048750A"/>
    <w:rsid w:val="00490443"/>
    <w:rsid w:val="00494730"/>
    <w:rsid w:val="0049744D"/>
    <w:rsid w:val="004A527E"/>
    <w:rsid w:val="004B232E"/>
    <w:rsid w:val="004B4561"/>
    <w:rsid w:val="004B48E9"/>
    <w:rsid w:val="004B73FB"/>
    <w:rsid w:val="004D0A09"/>
    <w:rsid w:val="004D19BA"/>
    <w:rsid w:val="004D4A48"/>
    <w:rsid w:val="004D4D7D"/>
    <w:rsid w:val="004D57D1"/>
    <w:rsid w:val="004D7516"/>
    <w:rsid w:val="004E240B"/>
    <w:rsid w:val="0050553F"/>
    <w:rsid w:val="00507BB4"/>
    <w:rsid w:val="005123C0"/>
    <w:rsid w:val="00514A88"/>
    <w:rsid w:val="005153E2"/>
    <w:rsid w:val="005204DF"/>
    <w:rsid w:val="005205DC"/>
    <w:rsid w:val="00521362"/>
    <w:rsid w:val="0052149A"/>
    <w:rsid w:val="005235AF"/>
    <w:rsid w:val="005244C1"/>
    <w:rsid w:val="00532C6A"/>
    <w:rsid w:val="005356E7"/>
    <w:rsid w:val="00540EEF"/>
    <w:rsid w:val="005413D6"/>
    <w:rsid w:val="00541BC7"/>
    <w:rsid w:val="00542B78"/>
    <w:rsid w:val="00544779"/>
    <w:rsid w:val="005449A2"/>
    <w:rsid w:val="00546E35"/>
    <w:rsid w:val="00552B3F"/>
    <w:rsid w:val="00552D9B"/>
    <w:rsid w:val="005555FF"/>
    <w:rsid w:val="0055705D"/>
    <w:rsid w:val="00562D90"/>
    <w:rsid w:val="00564A36"/>
    <w:rsid w:val="00565E14"/>
    <w:rsid w:val="00567D99"/>
    <w:rsid w:val="005735DA"/>
    <w:rsid w:val="00580910"/>
    <w:rsid w:val="0058112C"/>
    <w:rsid w:val="00581444"/>
    <w:rsid w:val="00581D66"/>
    <w:rsid w:val="00581DE8"/>
    <w:rsid w:val="0058695D"/>
    <w:rsid w:val="00587106"/>
    <w:rsid w:val="00591DAA"/>
    <w:rsid w:val="005923F8"/>
    <w:rsid w:val="0059380A"/>
    <w:rsid w:val="005938C1"/>
    <w:rsid w:val="00593A89"/>
    <w:rsid w:val="005A4BE0"/>
    <w:rsid w:val="005A5CB2"/>
    <w:rsid w:val="005B2C45"/>
    <w:rsid w:val="005B54BD"/>
    <w:rsid w:val="005B61A0"/>
    <w:rsid w:val="005C08E0"/>
    <w:rsid w:val="005C1B0F"/>
    <w:rsid w:val="005C4AAB"/>
    <w:rsid w:val="005C51E5"/>
    <w:rsid w:val="005D0B32"/>
    <w:rsid w:val="005D3D47"/>
    <w:rsid w:val="005D6678"/>
    <w:rsid w:val="005D6BC8"/>
    <w:rsid w:val="005D7DDE"/>
    <w:rsid w:val="005E3BDB"/>
    <w:rsid w:val="005E53E9"/>
    <w:rsid w:val="005E7566"/>
    <w:rsid w:val="005F0B43"/>
    <w:rsid w:val="005F6335"/>
    <w:rsid w:val="00600006"/>
    <w:rsid w:val="00601FB6"/>
    <w:rsid w:val="00605922"/>
    <w:rsid w:val="00605F4D"/>
    <w:rsid w:val="006060DC"/>
    <w:rsid w:val="0060683C"/>
    <w:rsid w:val="0061707F"/>
    <w:rsid w:val="006203A7"/>
    <w:rsid w:val="0062199F"/>
    <w:rsid w:val="006230D1"/>
    <w:rsid w:val="006236FE"/>
    <w:rsid w:val="00630DFA"/>
    <w:rsid w:val="00641F1C"/>
    <w:rsid w:val="00641F4C"/>
    <w:rsid w:val="00643B80"/>
    <w:rsid w:val="00645C44"/>
    <w:rsid w:val="0064690D"/>
    <w:rsid w:val="00650143"/>
    <w:rsid w:val="006541FA"/>
    <w:rsid w:val="00654EF1"/>
    <w:rsid w:val="006556DE"/>
    <w:rsid w:val="00660FAD"/>
    <w:rsid w:val="0066207E"/>
    <w:rsid w:val="00663DB0"/>
    <w:rsid w:val="006708C3"/>
    <w:rsid w:val="00671AD6"/>
    <w:rsid w:val="0067218A"/>
    <w:rsid w:val="006800FE"/>
    <w:rsid w:val="00683276"/>
    <w:rsid w:val="00683C08"/>
    <w:rsid w:val="00686C34"/>
    <w:rsid w:val="006907E0"/>
    <w:rsid w:val="006917FF"/>
    <w:rsid w:val="00695D2D"/>
    <w:rsid w:val="00697667"/>
    <w:rsid w:val="006A55DC"/>
    <w:rsid w:val="006A6E0E"/>
    <w:rsid w:val="006B012F"/>
    <w:rsid w:val="006B1429"/>
    <w:rsid w:val="006B1FAC"/>
    <w:rsid w:val="006B2FC4"/>
    <w:rsid w:val="006B49BA"/>
    <w:rsid w:val="006C1EC7"/>
    <w:rsid w:val="006C28B3"/>
    <w:rsid w:val="006C56C0"/>
    <w:rsid w:val="006D6AAB"/>
    <w:rsid w:val="006D72EF"/>
    <w:rsid w:val="006E23D4"/>
    <w:rsid w:val="006E2A98"/>
    <w:rsid w:val="006E4F43"/>
    <w:rsid w:val="006F3521"/>
    <w:rsid w:val="006F3C01"/>
    <w:rsid w:val="006F6A7D"/>
    <w:rsid w:val="006F7D11"/>
    <w:rsid w:val="00704D8E"/>
    <w:rsid w:val="00705E49"/>
    <w:rsid w:val="00706A71"/>
    <w:rsid w:val="00710656"/>
    <w:rsid w:val="00710C8F"/>
    <w:rsid w:val="00710FD4"/>
    <w:rsid w:val="007166E6"/>
    <w:rsid w:val="00716D5E"/>
    <w:rsid w:val="00720959"/>
    <w:rsid w:val="00720E52"/>
    <w:rsid w:val="0072322D"/>
    <w:rsid w:val="0072343F"/>
    <w:rsid w:val="00730769"/>
    <w:rsid w:val="00731736"/>
    <w:rsid w:val="00731F39"/>
    <w:rsid w:val="00732D51"/>
    <w:rsid w:val="00735044"/>
    <w:rsid w:val="00736779"/>
    <w:rsid w:val="00736FF3"/>
    <w:rsid w:val="00741AF4"/>
    <w:rsid w:val="00745AE8"/>
    <w:rsid w:val="007503EF"/>
    <w:rsid w:val="00753110"/>
    <w:rsid w:val="0075360C"/>
    <w:rsid w:val="00753D79"/>
    <w:rsid w:val="00762906"/>
    <w:rsid w:val="007629F9"/>
    <w:rsid w:val="0076447F"/>
    <w:rsid w:val="00764963"/>
    <w:rsid w:val="00765CB2"/>
    <w:rsid w:val="00770804"/>
    <w:rsid w:val="007757B5"/>
    <w:rsid w:val="00781A36"/>
    <w:rsid w:val="00782AB5"/>
    <w:rsid w:val="0078666B"/>
    <w:rsid w:val="00791C00"/>
    <w:rsid w:val="007950E1"/>
    <w:rsid w:val="007961B2"/>
    <w:rsid w:val="007A59D8"/>
    <w:rsid w:val="007B1C92"/>
    <w:rsid w:val="007B34B5"/>
    <w:rsid w:val="007B3BF0"/>
    <w:rsid w:val="007B48D3"/>
    <w:rsid w:val="007C20C5"/>
    <w:rsid w:val="007C41E2"/>
    <w:rsid w:val="007C43C9"/>
    <w:rsid w:val="007C6F8B"/>
    <w:rsid w:val="007D1C4C"/>
    <w:rsid w:val="007D2A20"/>
    <w:rsid w:val="007D5D3B"/>
    <w:rsid w:val="007D657C"/>
    <w:rsid w:val="007D7D23"/>
    <w:rsid w:val="007E0E1E"/>
    <w:rsid w:val="007E15B9"/>
    <w:rsid w:val="007E1C50"/>
    <w:rsid w:val="007E1EBF"/>
    <w:rsid w:val="007E2832"/>
    <w:rsid w:val="007E3C44"/>
    <w:rsid w:val="007E53F8"/>
    <w:rsid w:val="007E5709"/>
    <w:rsid w:val="007F2296"/>
    <w:rsid w:val="007F2EE5"/>
    <w:rsid w:val="007F3AD1"/>
    <w:rsid w:val="008037B6"/>
    <w:rsid w:val="008047BA"/>
    <w:rsid w:val="00805CD6"/>
    <w:rsid w:val="00806AFA"/>
    <w:rsid w:val="00807AE9"/>
    <w:rsid w:val="00812C43"/>
    <w:rsid w:val="00814A08"/>
    <w:rsid w:val="0081728D"/>
    <w:rsid w:val="008239BF"/>
    <w:rsid w:val="00825324"/>
    <w:rsid w:val="00825685"/>
    <w:rsid w:val="00825A96"/>
    <w:rsid w:val="008270E4"/>
    <w:rsid w:val="008303FE"/>
    <w:rsid w:val="00830DFA"/>
    <w:rsid w:val="00832F57"/>
    <w:rsid w:val="00835565"/>
    <w:rsid w:val="00835B4E"/>
    <w:rsid w:val="008427F9"/>
    <w:rsid w:val="00844354"/>
    <w:rsid w:val="00844CD7"/>
    <w:rsid w:val="008453C2"/>
    <w:rsid w:val="008454CE"/>
    <w:rsid w:val="00845EA9"/>
    <w:rsid w:val="008475BD"/>
    <w:rsid w:val="00850B11"/>
    <w:rsid w:val="00853022"/>
    <w:rsid w:val="00853BE3"/>
    <w:rsid w:val="00854107"/>
    <w:rsid w:val="00855BAB"/>
    <w:rsid w:val="008578E1"/>
    <w:rsid w:val="0086301E"/>
    <w:rsid w:val="00865BED"/>
    <w:rsid w:val="00866ADE"/>
    <w:rsid w:val="0087207E"/>
    <w:rsid w:val="00875678"/>
    <w:rsid w:val="0087746B"/>
    <w:rsid w:val="00880230"/>
    <w:rsid w:val="00880B35"/>
    <w:rsid w:val="00881B86"/>
    <w:rsid w:val="00882A8A"/>
    <w:rsid w:val="00883E0C"/>
    <w:rsid w:val="00885139"/>
    <w:rsid w:val="0088531B"/>
    <w:rsid w:val="00886335"/>
    <w:rsid w:val="00887B81"/>
    <w:rsid w:val="00894FE0"/>
    <w:rsid w:val="008966AD"/>
    <w:rsid w:val="008A137F"/>
    <w:rsid w:val="008A2CC6"/>
    <w:rsid w:val="008A5AB9"/>
    <w:rsid w:val="008B121B"/>
    <w:rsid w:val="008B3225"/>
    <w:rsid w:val="008B6DF5"/>
    <w:rsid w:val="008B7B04"/>
    <w:rsid w:val="008B7D20"/>
    <w:rsid w:val="008C0D4D"/>
    <w:rsid w:val="008C1AC5"/>
    <w:rsid w:val="008C3F36"/>
    <w:rsid w:val="008C44AE"/>
    <w:rsid w:val="008C4C1B"/>
    <w:rsid w:val="008D53D7"/>
    <w:rsid w:val="008D70ED"/>
    <w:rsid w:val="008E5AE6"/>
    <w:rsid w:val="008E7457"/>
    <w:rsid w:val="008E7729"/>
    <w:rsid w:val="008F4D7F"/>
    <w:rsid w:val="008F6C66"/>
    <w:rsid w:val="0090112A"/>
    <w:rsid w:val="00904C38"/>
    <w:rsid w:val="009066CD"/>
    <w:rsid w:val="00910E53"/>
    <w:rsid w:val="0091217C"/>
    <w:rsid w:val="0091320F"/>
    <w:rsid w:val="00922F08"/>
    <w:rsid w:val="00926F65"/>
    <w:rsid w:val="009301CD"/>
    <w:rsid w:val="009352F3"/>
    <w:rsid w:val="00936F24"/>
    <w:rsid w:val="009559A8"/>
    <w:rsid w:val="00957A4C"/>
    <w:rsid w:val="0096093A"/>
    <w:rsid w:val="009613D5"/>
    <w:rsid w:val="0096182C"/>
    <w:rsid w:val="00965501"/>
    <w:rsid w:val="009672DF"/>
    <w:rsid w:val="00970D96"/>
    <w:rsid w:val="00976D08"/>
    <w:rsid w:val="0098021E"/>
    <w:rsid w:val="009816E8"/>
    <w:rsid w:val="00983551"/>
    <w:rsid w:val="009840F4"/>
    <w:rsid w:val="0098653D"/>
    <w:rsid w:val="00987955"/>
    <w:rsid w:val="0099043E"/>
    <w:rsid w:val="00990820"/>
    <w:rsid w:val="009924F2"/>
    <w:rsid w:val="00997AB6"/>
    <w:rsid w:val="009A246D"/>
    <w:rsid w:val="009A4553"/>
    <w:rsid w:val="009B4A3B"/>
    <w:rsid w:val="009B5E8B"/>
    <w:rsid w:val="009C129F"/>
    <w:rsid w:val="009D292F"/>
    <w:rsid w:val="009E05A1"/>
    <w:rsid w:val="009E144E"/>
    <w:rsid w:val="009E178A"/>
    <w:rsid w:val="009F2574"/>
    <w:rsid w:val="009F330A"/>
    <w:rsid w:val="009F371E"/>
    <w:rsid w:val="009F5A20"/>
    <w:rsid w:val="00A059D0"/>
    <w:rsid w:val="00A05C0D"/>
    <w:rsid w:val="00A075A8"/>
    <w:rsid w:val="00A10241"/>
    <w:rsid w:val="00A1058B"/>
    <w:rsid w:val="00A2084F"/>
    <w:rsid w:val="00A21F0F"/>
    <w:rsid w:val="00A2572A"/>
    <w:rsid w:val="00A309B5"/>
    <w:rsid w:val="00A320C1"/>
    <w:rsid w:val="00A35422"/>
    <w:rsid w:val="00A400C7"/>
    <w:rsid w:val="00A41244"/>
    <w:rsid w:val="00A47663"/>
    <w:rsid w:val="00A52277"/>
    <w:rsid w:val="00A52B00"/>
    <w:rsid w:val="00A65939"/>
    <w:rsid w:val="00A71429"/>
    <w:rsid w:val="00A71716"/>
    <w:rsid w:val="00A7229C"/>
    <w:rsid w:val="00A72B3E"/>
    <w:rsid w:val="00A736A1"/>
    <w:rsid w:val="00A7440D"/>
    <w:rsid w:val="00A74C1E"/>
    <w:rsid w:val="00A76A58"/>
    <w:rsid w:val="00A819B1"/>
    <w:rsid w:val="00A8482C"/>
    <w:rsid w:val="00A8561E"/>
    <w:rsid w:val="00A85BE6"/>
    <w:rsid w:val="00A91EFD"/>
    <w:rsid w:val="00A95AD5"/>
    <w:rsid w:val="00A96405"/>
    <w:rsid w:val="00A9709E"/>
    <w:rsid w:val="00A970C7"/>
    <w:rsid w:val="00A97754"/>
    <w:rsid w:val="00AA3569"/>
    <w:rsid w:val="00AA4D32"/>
    <w:rsid w:val="00AB12B5"/>
    <w:rsid w:val="00AC196B"/>
    <w:rsid w:val="00AC551B"/>
    <w:rsid w:val="00AD2668"/>
    <w:rsid w:val="00AD3F92"/>
    <w:rsid w:val="00AD5C60"/>
    <w:rsid w:val="00AD7528"/>
    <w:rsid w:val="00AE1445"/>
    <w:rsid w:val="00AE529F"/>
    <w:rsid w:val="00AE7550"/>
    <w:rsid w:val="00AF3304"/>
    <w:rsid w:val="00AF69BE"/>
    <w:rsid w:val="00B11502"/>
    <w:rsid w:val="00B2184E"/>
    <w:rsid w:val="00B22427"/>
    <w:rsid w:val="00B2336A"/>
    <w:rsid w:val="00B249D7"/>
    <w:rsid w:val="00B25D32"/>
    <w:rsid w:val="00B26AA8"/>
    <w:rsid w:val="00B3097D"/>
    <w:rsid w:val="00B31843"/>
    <w:rsid w:val="00B318E0"/>
    <w:rsid w:val="00B33038"/>
    <w:rsid w:val="00B33E8C"/>
    <w:rsid w:val="00B34A83"/>
    <w:rsid w:val="00B37CB3"/>
    <w:rsid w:val="00B44E42"/>
    <w:rsid w:val="00B568ED"/>
    <w:rsid w:val="00B6140D"/>
    <w:rsid w:val="00B617F2"/>
    <w:rsid w:val="00B640D1"/>
    <w:rsid w:val="00B646CD"/>
    <w:rsid w:val="00B65BBC"/>
    <w:rsid w:val="00B66240"/>
    <w:rsid w:val="00B73142"/>
    <w:rsid w:val="00B7605A"/>
    <w:rsid w:val="00B76811"/>
    <w:rsid w:val="00B81136"/>
    <w:rsid w:val="00B81526"/>
    <w:rsid w:val="00B823BD"/>
    <w:rsid w:val="00B86CA8"/>
    <w:rsid w:val="00B937A5"/>
    <w:rsid w:val="00B95B96"/>
    <w:rsid w:val="00BA0CA9"/>
    <w:rsid w:val="00BA3125"/>
    <w:rsid w:val="00BA313D"/>
    <w:rsid w:val="00BA394C"/>
    <w:rsid w:val="00BA5081"/>
    <w:rsid w:val="00BB05BF"/>
    <w:rsid w:val="00BB2536"/>
    <w:rsid w:val="00BB265E"/>
    <w:rsid w:val="00BB387C"/>
    <w:rsid w:val="00BB59E4"/>
    <w:rsid w:val="00BB7BE2"/>
    <w:rsid w:val="00BC0E77"/>
    <w:rsid w:val="00BC1102"/>
    <w:rsid w:val="00BC18D9"/>
    <w:rsid w:val="00BC1A20"/>
    <w:rsid w:val="00BC572D"/>
    <w:rsid w:val="00BD2BFC"/>
    <w:rsid w:val="00BD38A2"/>
    <w:rsid w:val="00BD546D"/>
    <w:rsid w:val="00BD61FD"/>
    <w:rsid w:val="00BE04F7"/>
    <w:rsid w:val="00BE230E"/>
    <w:rsid w:val="00BE363B"/>
    <w:rsid w:val="00BE562C"/>
    <w:rsid w:val="00BE5FD3"/>
    <w:rsid w:val="00BF1313"/>
    <w:rsid w:val="00BF16CA"/>
    <w:rsid w:val="00BF36FB"/>
    <w:rsid w:val="00BF570B"/>
    <w:rsid w:val="00C01603"/>
    <w:rsid w:val="00C03A0B"/>
    <w:rsid w:val="00C0413D"/>
    <w:rsid w:val="00C04833"/>
    <w:rsid w:val="00C0593B"/>
    <w:rsid w:val="00C10009"/>
    <w:rsid w:val="00C1275E"/>
    <w:rsid w:val="00C204C2"/>
    <w:rsid w:val="00C21D4C"/>
    <w:rsid w:val="00C22CE5"/>
    <w:rsid w:val="00C25223"/>
    <w:rsid w:val="00C267E7"/>
    <w:rsid w:val="00C3076A"/>
    <w:rsid w:val="00C31536"/>
    <w:rsid w:val="00C32F6B"/>
    <w:rsid w:val="00C3336D"/>
    <w:rsid w:val="00C3393D"/>
    <w:rsid w:val="00C36F8E"/>
    <w:rsid w:val="00C36FA5"/>
    <w:rsid w:val="00C406C6"/>
    <w:rsid w:val="00C4092A"/>
    <w:rsid w:val="00C41C64"/>
    <w:rsid w:val="00C4218D"/>
    <w:rsid w:val="00C431D8"/>
    <w:rsid w:val="00C44854"/>
    <w:rsid w:val="00C46D3F"/>
    <w:rsid w:val="00C4745A"/>
    <w:rsid w:val="00C61FA6"/>
    <w:rsid w:val="00C622CC"/>
    <w:rsid w:val="00C64EE4"/>
    <w:rsid w:val="00C657F9"/>
    <w:rsid w:val="00C670FD"/>
    <w:rsid w:val="00C673E5"/>
    <w:rsid w:val="00C67C09"/>
    <w:rsid w:val="00C7156D"/>
    <w:rsid w:val="00C76C25"/>
    <w:rsid w:val="00C80206"/>
    <w:rsid w:val="00C80823"/>
    <w:rsid w:val="00C82762"/>
    <w:rsid w:val="00C82A38"/>
    <w:rsid w:val="00C85C38"/>
    <w:rsid w:val="00C87EAE"/>
    <w:rsid w:val="00C90517"/>
    <w:rsid w:val="00C921F2"/>
    <w:rsid w:val="00C97A68"/>
    <w:rsid w:val="00CA0E66"/>
    <w:rsid w:val="00CA3B60"/>
    <w:rsid w:val="00CB561B"/>
    <w:rsid w:val="00CB57AA"/>
    <w:rsid w:val="00CC0615"/>
    <w:rsid w:val="00CC4B9F"/>
    <w:rsid w:val="00CD070B"/>
    <w:rsid w:val="00CD1199"/>
    <w:rsid w:val="00CD2A6B"/>
    <w:rsid w:val="00CD3C43"/>
    <w:rsid w:val="00CD6534"/>
    <w:rsid w:val="00CD6EBB"/>
    <w:rsid w:val="00CE789C"/>
    <w:rsid w:val="00CF01DF"/>
    <w:rsid w:val="00CF183E"/>
    <w:rsid w:val="00CF1C08"/>
    <w:rsid w:val="00CF2722"/>
    <w:rsid w:val="00CF4061"/>
    <w:rsid w:val="00CF771D"/>
    <w:rsid w:val="00D017F1"/>
    <w:rsid w:val="00D02049"/>
    <w:rsid w:val="00D04304"/>
    <w:rsid w:val="00D07490"/>
    <w:rsid w:val="00D10BB5"/>
    <w:rsid w:val="00D13B84"/>
    <w:rsid w:val="00D16A44"/>
    <w:rsid w:val="00D17E6D"/>
    <w:rsid w:val="00D22129"/>
    <w:rsid w:val="00D229EE"/>
    <w:rsid w:val="00D238A5"/>
    <w:rsid w:val="00D308B6"/>
    <w:rsid w:val="00D40A9B"/>
    <w:rsid w:val="00D4489E"/>
    <w:rsid w:val="00D467ED"/>
    <w:rsid w:val="00D565BB"/>
    <w:rsid w:val="00D574CA"/>
    <w:rsid w:val="00D63C1D"/>
    <w:rsid w:val="00D64D4C"/>
    <w:rsid w:val="00D70444"/>
    <w:rsid w:val="00D74423"/>
    <w:rsid w:val="00D808C2"/>
    <w:rsid w:val="00D82230"/>
    <w:rsid w:val="00D9092E"/>
    <w:rsid w:val="00D91432"/>
    <w:rsid w:val="00DA184F"/>
    <w:rsid w:val="00DA191C"/>
    <w:rsid w:val="00DA2F8B"/>
    <w:rsid w:val="00DA4488"/>
    <w:rsid w:val="00DA5573"/>
    <w:rsid w:val="00DB20F1"/>
    <w:rsid w:val="00DB3DCA"/>
    <w:rsid w:val="00DB4A26"/>
    <w:rsid w:val="00DC31CF"/>
    <w:rsid w:val="00DC432F"/>
    <w:rsid w:val="00DC5794"/>
    <w:rsid w:val="00DC5804"/>
    <w:rsid w:val="00DC5974"/>
    <w:rsid w:val="00DD27E3"/>
    <w:rsid w:val="00DD549A"/>
    <w:rsid w:val="00DD7C21"/>
    <w:rsid w:val="00DE60CC"/>
    <w:rsid w:val="00DE7326"/>
    <w:rsid w:val="00DF15F8"/>
    <w:rsid w:val="00DF194E"/>
    <w:rsid w:val="00DF40A3"/>
    <w:rsid w:val="00E00B97"/>
    <w:rsid w:val="00E00CC0"/>
    <w:rsid w:val="00E049B6"/>
    <w:rsid w:val="00E07BA9"/>
    <w:rsid w:val="00E07E36"/>
    <w:rsid w:val="00E10391"/>
    <w:rsid w:val="00E13DCA"/>
    <w:rsid w:val="00E14B0E"/>
    <w:rsid w:val="00E152C9"/>
    <w:rsid w:val="00E165B9"/>
    <w:rsid w:val="00E17CBB"/>
    <w:rsid w:val="00E26F9B"/>
    <w:rsid w:val="00E318D8"/>
    <w:rsid w:val="00E33816"/>
    <w:rsid w:val="00E33DD4"/>
    <w:rsid w:val="00E36A00"/>
    <w:rsid w:val="00E37D57"/>
    <w:rsid w:val="00E41BDF"/>
    <w:rsid w:val="00E42538"/>
    <w:rsid w:val="00E52108"/>
    <w:rsid w:val="00E551D5"/>
    <w:rsid w:val="00E61346"/>
    <w:rsid w:val="00E61A90"/>
    <w:rsid w:val="00E61DFA"/>
    <w:rsid w:val="00E62040"/>
    <w:rsid w:val="00E641AC"/>
    <w:rsid w:val="00E65D00"/>
    <w:rsid w:val="00E70BA1"/>
    <w:rsid w:val="00E70F04"/>
    <w:rsid w:val="00E727F7"/>
    <w:rsid w:val="00E72BA5"/>
    <w:rsid w:val="00E74597"/>
    <w:rsid w:val="00E757B6"/>
    <w:rsid w:val="00E813C4"/>
    <w:rsid w:val="00E81D18"/>
    <w:rsid w:val="00E867D6"/>
    <w:rsid w:val="00E93554"/>
    <w:rsid w:val="00E952DC"/>
    <w:rsid w:val="00E95590"/>
    <w:rsid w:val="00EA10A2"/>
    <w:rsid w:val="00EA1D21"/>
    <w:rsid w:val="00EA3619"/>
    <w:rsid w:val="00EA3952"/>
    <w:rsid w:val="00EA4E8B"/>
    <w:rsid w:val="00EA588A"/>
    <w:rsid w:val="00EA6919"/>
    <w:rsid w:val="00EA7B9F"/>
    <w:rsid w:val="00EB028E"/>
    <w:rsid w:val="00EB1580"/>
    <w:rsid w:val="00EB3B8C"/>
    <w:rsid w:val="00EB5413"/>
    <w:rsid w:val="00EB775F"/>
    <w:rsid w:val="00EC0F51"/>
    <w:rsid w:val="00EC300E"/>
    <w:rsid w:val="00EC4349"/>
    <w:rsid w:val="00EC6964"/>
    <w:rsid w:val="00ED122F"/>
    <w:rsid w:val="00ED56DD"/>
    <w:rsid w:val="00EE0533"/>
    <w:rsid w:val="00EE0957"/>
    <w:rsid w:val="00EE3494"/>
    <w:rsid w:val="00EE7B30"/>
    <w:rsid w:val="00EF0AC0"/>
    <w:rsid w:val="00EF25CC"/>
    <w:rsid w:val="00EF301B"/>
    <w:rsid w:val="00F00506"/>
    <w:rsid w:val="00F0067B"/>
    <w:rsid w:val="00F01829"/>
    <w:rsid w:val="00F022E7"/>
    <w:rsid w:val="00F031B6"/>
    <w:rsid w:val="00F0606F"/>
    <w:rsid w:val="00F100FE"/>
    <w:rsid w:val="00F10F83"/>
    <w:rsid w:val="00F139CB"/>
    <w:rsid w:val="00F15B30"/>
    <w:rsid w:val="00F210E3"/>
    <w:rsid w:val="00F213AC"/>
    <w:rsid w:val="00F21922"/>
    <w:rsid w:val="00F2210D"/>
    <w:rsid w:val="00F2730D"/>
    <w:rsid w:val="00F323BF"/>
    <w:rsid w:val="00F32889"/>
    <w:rsid w:val="00F32EA0"/>
    <w:rsid w:val="00F331B8"/>
    <w:rsid w:val="00F4176A"/>
    <w:rsid w:val="00F42BD1"/>
    <w:rsid w:val="00F44FB6"/>
    <w:rsid w:val="00F544FF"/>
    <w:rsid w:val="00F57634"/>
    <w:rsid w:val="00F61741"/>
    <w:rsid w:val="00F62076"/>
    <w:rsid w:val="00F630C0"/>
    <w:rsid w:val="00F645DB"/>
    <w:rsid w:val="00F7277C"/>
    <w:rsid w:val="00F761A4"/>
    <w:rsid w:val="00F76792"/>
    <w:rsid w:val="00F81A71"/>
    <w:rsid w:val="00F868DF"/>
    <w:rsid w:val="00F90CAA"/>
    <w:rsid w:val="00F916D8"/>
    <w:rsid w:val="00F9793E"/>
    <w:rsid w:val="00FA2527"/>
    <w:rsid w:val="00FA4311"/>
    <w:rsid w:val="00FA4A17"/>
    <w:rsid w:val="00FB15F8"/>
    <w:rsid w:val="00FB2015"/>
    <w:rsid w:val="00FB22FC"/>
    <w:rsid w:val="00FB509B"/>
    <w:rsid w:val="00FB5D43"/>
    <w:rsid w:val="00FD0A96"/>
    <w:rsid w:val="00FD4CE9"/>
    <w:rsid w:val="00FD7AD2"/>
    <w:rsid w:val="00FE4603"/>
    <w:rsid w:val="00FE5D26"/>
    <w:rsid w:val="00FE6394"/>
    <w:rsid w:val="00FE67C1"/>
    <w:rsid w:val="00FE7559"/>
    <w:rsid w:val="00FF50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9BE"/>
    <w:pPr>
      <w:spacing w:after="0" w:line="240" w:lineRule="auto"/>
    </w:pPr>
    <w:rPr>
      <w:sz w:val="24"/>
      <w:szCs w:val="24"/>
      <w:lang w:val="uk-UA" w:eastAsia="uk-UA"/>
    </w:rPr>
  </w:style>
  <w:style w:type="paragraph" w:styleId="6">
    <w:name w:val="heading 6"/>
    <w:basedOn w:val="a"/>
    <w:next w:val="a"/>
    <w:link w:val="60"/>
    <w:uiPriority w:val="99"/>
    <w:qFormat/>
    <w:rsid w:val="00AF69B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locked/>
    <w:rsid w:val="00EA3952"/>
    <w:rPr>
      <w:rFonts w:ascii="Calibri" w:hAnsi="Calibri" w:cs="Times New Roman"/>
      <w:b/>
      <w:bCs/>
      <w:sz w:val="22"/>
      <w:szCs w:val="22"/>
      <w:lang w:val="uk-UA" w:eastAsia="uk-UA"/>
    </w:rPr>
  </w:style>
  <w:style w:type="paragraph" w:styleId="a3">
    <w:name w:val="Normal (Web)"/>
    <w:basedOn w:val="a"/>
    <w:uiPriority w:val="99"/>
    <w:rsid w:val="00AF69BE"/>
    <w:pPr>
      <w:spacing w:before="100" w:beforeAutospacing="1" w:after="100" w:afterAutospacing="1"/>
    </w:pPr>
  </w:style>
  <w:style w:type="paragraph" w:customStyle="1" w:styleId="a4">
    <w:name w:val="Цитаты"/>
    <w:basedOn w:val="a"/>
    <w:uiPriority w:val="99"/>
    <w:rsid w:val="00AF69BE"/>
    <w:pPr>
      <w:widowControl w:val="0"/>
      <w:spacing w:before="100" w:after="100"/>
      <w:ind w:left="360" w:right="360"/>
    </w:pPr>
    <w:rPr>
      <w:szCs w:val="20"/>
      <w:lang w:val="ru-RU" w:eastAsia="ru-RU"/>
    </w:rPr>
  </w:style>
  <w:style w:type="table" w:styleId="a5">
    <w:name w:val="Table Grid"/>
    <w:basedOn w:val="a1"/>
    <w:uiPriority w:val="99"/>
    <w:rsid w:val="00AF69B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ikazglava">
    <w:name w:val="prikaz glava"/>
    <w:uiPriority w:val="99"/>
    <w:rsid w:val="00AF69BE"/>
    <w:pPr>
      <w:spacing w:before="240" w:after="240" w:line="240" w:lineRule="auto"/>
      <w:jc w:val="center"/>
    </w:pPr>
    <w:rPr>
      <w:b/>
      <w:caps/>
      <w:sz w:val="28"/>
      <w:szCs w:val="20"/>
    </w:rPr>
  </w:style>
  <w:style w:type="paragraph" w:customStyle="1" w:styleId="1Znak">
    <w:name w:val="Знак1 Znak Знак"/>
    <w:basedOn w:val="a"/>
    <w:uiPriority w:val="99"/>
    <w:rsid w:val="00AF69BE"/>
    <w:rPr>
      <w:rFonts w:ascii="Verdana" w:hAnsi="Verdana"/>
      <w:sz w:val="20"/>
      <w:szCs w:val="20"/>
      <w:lang w:val="en-US" w:eastAsia="en-US"/>
    </w:rPr>
  </w:style>
  <w:style w:type="character" w:styleId="a6">
    <w:name w:val="Hyperlink"/>
    <w:basedOn w:val="a0"/>
    <w:uiPriority w:val="99"/>
    <w:unhideWhenUsed/>
    <w:rsid w:val="00396904"/>
    <w:rPr>
      <w:color w:val="0000FF" w:themeColor="hyperlink"/>
      <w:u w:val="single"/>
    </w:rPr>
  </w:style>
  <w:style w:type="paragraph" w:styleId="a7">
    <w:name w:val="List Paragraph"/>
    <w:basedOn w:val="a"/>
    <w:uiPriority w:val="34"/>
    <w:qFormat/>
    <w:rsid w:val="00B26AA8"/>
    <w:pPr>
      <w:ind w:left="720"/>
      <w:contextualSpacing/>
    </w:pPr>
  </w:style>
</w:styles>
</file>

<file path=word/webSettings.xml><?xml version="1.0" encoding="utf-8"?>
<w:webSettings xmlns:r="http://schemas.openxmlformats.org/officeDocument/2006/relationships" xmlns:w="http://schemas.openxmlformats.org/wordprocessingml/2006/main">
  <w:divs>
    <w:div w:id="708264820">
      <w:bodyDiv w:val="1"/>
      <w:marLeft w:val="0"/>
      <w:marRight w:val="0"/>
      <w:marTop w:val="0"/>
      <w:marBottom w:val="0"/>
      <w:divBdr>
        <w:top w:val="none" w:sz="0" w:space="0" w:color="auto"/>
        <w:left w:val="none" w:sz="0" w:space="0" w:color="auto"/>
        <w:bottom w:val="none" w:sz="0" w:space="0" w:color="auto"/>
        <w:right w:val="none" w:sz="0" w:space="0" w:color="auto"/>
      </w:divBdr>
    </w:div>
    <w:div w:id="117037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C24D3-6F21-4654-BA9B-AD2084D66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1791</Words>
  <Characters>11901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Додаток 44</vt:lpstr>
    </vt:vector>
  </TitlesOfParts>
  <Company>Avtek</Company>
  <LinksUpToDate>false</LinksUpToDate>
  <CharactersWithSpaces>13665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44</dc:title>
  <dc:creator>mihail</dc:creator>
  <cp:lastModifiedBy>m.danilov</cp:lastModifiedBy>
  <cp:revision>9</cp:revision>
  <cp:lastPrinted>2017-03-27T15:42:00Z</cp:lastPrinted>
  <dcterms:created xsi:type="dcterms:W3CDTF">2018-03-16T15:34:00Z</dcterms:created>
  <dcterms:modified xsi:type="dcterms:W3CDTF">2019-03-26T14:37:00Z</dcterms:modified>
</cp:coreProperties>
</file>